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919"/>
      </w:tblGrid>
      <w:tr w:rsidR="00E34FDE" w:rsidRPr="00B313B0" w:rsidTr="007F20F2">
        <w:trPr>
          <w:trHeight w:val="1418"/>
          <w:jc w:val="center"/>
        </w:trPr>
        <w:tc>
          <w:tcPr>
            <w:tcW w:w="3369" w:type="dxa"/>
          </w:tcPr>
          <w:p w:rsidR="00E34FDE" w:rsidRPr="00B313B0" w:rsidRDefault="00E34FDE" w:rsidP="00D118CC">
            <w:pPr>
              <w:jc w:val="center"/>
              <w:rPr>
                <w:rFonts w:cs="Times New Roman"/>
                <w:b/>
                <w:sz w:val="26"/>
              </w:rPr>
            </w:pPr>
            <w:r w:rsidRPr="00B313B0">
              <w:rPr>
                <w:rFonts w:cs="Times New Roman"/>
                <w:b/>
                <w:sz w:val="26"/>
              </w:rPr>
              <w:t>HỘI ĐỒNG NHÂN DÂN</w:t>
            </w:r>
          </w:p>
          <w:p w:rsidR="00E34FDE" w:rsidRPr="00B313B0" w:rsidRDefault="00E34FDE" w:rsidP="00D118CC">
            <w:pPr>
              <w:jc w:val="center"/>
              <w:rPr>
                <w:rFonts w:cs="Times New Roman"/>
                <w:b/>
                <w:sz w:val="26"/>
              </w:rPr>
            </w:pPr>
            <w:r w:rsidRPr="00B313B0">
              <w:rPr>
                <w:rFonts w:cs="Times New Roman"/>
                <w:b/>
                <w:sz w:val="26"/>
              </w:rPr>
              <w:t>TỈNH QUẢNG TRỊ</w:t>
            </w:r>
          </w:p>
          <w:p w:rsidR="00E34FDE" w:rsidRPr="00B313B0" w:rsidRDefault="003D1640" w:rsidP="00D118CC">
            <w:pPr>
              <w:ind w:firstLine="567"/>
              <w:jc w:val="center"/>
              <w:rPr>
                <w:rFonts w:cs="Times New Roman"/>
              </w:rPr>
            </w:pPr>
            <w:r w:rsidRPr="003D1640">
              <w:rPr>
                <w:rFonts w:cs="Times New Roman"/>
                <w:noProof/>
                <w:kern w:val="18"/>
                <w:szCs w:val="28"/>
              </w:rPr>
              <w:pict>
                <v:line id="_x0000_s1028" style="position:absolute;left:0;text-align:left;z-index:251660288;visibility:visible" from="44.15pt,3.8pt" to="111.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Default="00E34FDE" w:rsidP="00D118CC">
            <w:pPr>
              <w:jc w:val="center"/>
              <w:rPr>
                <w:rFonts w:cs="Times New Roman"/>
              </w:rPr>
            </w:pPr>
            <w:r w:rsidRPr="00B313B0">
              <w:rPr>
                <w:rFonts w:cs="Times New Roman"/>
              </w:rPr>
              <w:t>Số:</w:t>
            </w:r>
            <w:r w:rsidR="00113439">
              <w:rPr>
                <w:rFonts w:cs="Times New Roman"/>
              </w:rPr>
              <w:t xml:space="preserve"> </w:t>
            </w:r>
            <w:r w:rsidR="00371607">
              <w:rPr>
                <w:rFonts w:cs="Times New Roman"/>
              </w:rPr>
              <w:t>5</w:t>
            </w:r>
            <w:r w:rsidR="00E35E65">
              <w:rPr>
                <w:rFonts w:cs="Times New Roman"/>
              </w:rPr>
              <w:t>0</w:t>
            </w:r>
            <w:r w:rsidRPr="00B313B0">
              <w:rPr>
                <w:rFonts w:cs="Times New Roman"/>
              </w:rPr>
              <w:t>/</w:t>
            </w:r>
            <w:r w:rsidR="00321EFE">
              <w:rPr>
                <w:rFonts w:cs="Times New Roman"/>
              </w:rPr>
              <w:t>202</w:t>
            </w:r>
            <w:r w:rsidR="00D35FC0">
              <w:rPr>
                <w:rFonts w:cs="Times New Roman"/>
              </w:rPr>
              <w:t>2</w:t>
            </w:r>
            <w:r w:rsidR="00321EFE">
              <w:rPr>
                <w:rFonts w:cs="Times New Roman"/>
              </w:rPr>
              <w:t>/</w:t>
            </w:r>
            <w:r w:rsidRPr="00B313B0">
              <w:rPr>
                <w:rFonts w:cs="Times New Roman"/>
              </w:rPr>
              <w:t>NQ-HĐND</w:t>
            </w:r>
          </w:p>
          <w:p w:rsidR="001E68AA" w:rsidRPr="00B313B0" w:rsidRDefault="0079622B" w:rsidP="00D118CC">
            <w:pPr>
              <w:jc w:val="center"/>
              <w:rPr>
                <w:rFonts w:cs="Times New Roman"/>
                <w:b/>
              </w:rPr>
            </w:pPr>
            <w:r>
              <w:rPr>
                <w:rFonts w:cs="Times New Roman"/>
                <w:b/>
              </w:rPr>
              <w:t>DỰ THẢO</w:t>
            </w:r>
          </w:p>
        </w:tc>
        <w:tc>
          <w:tcPr>
            <w:tcW w:w="5919" w:type="dxa"/>
          </w:tcPr>
          <w:p w:rsidR="00E34FDE" w:rsidRPr="00B313B0" w:rsidRDefault="00E34FDE" w:rsidP="00D118CC">
            <w:pPr>
              <w:jc w:val="center"/>
              <w:rPr>
                <w:rFonts w:cs="Times New Roman"/>
                <w:b/>
              </w:rPr>
            </w:pPr>
            <w:r w:rsidRPr="00B313B0">
              <w:rPr>
                <w:rFonts w:cs="Times New Roman"/>
                <w:b/>
                <w:sz w:val="26"/>
              </w:rPr>
              <w:t>CỘNG HÒA XÃ HỘI CHỦ NGHĨA VIỆT NAM</w:t>
            </w:r>
          </w:p>
          <w:p w:rsidR="00E34FDE" w:rsidRPr="00B313B0" w:rsidRDefault="00E34FDE" w:rsidP="00D118CC">
            <w:pPr>
              <w:jc w:val="center"/>
              <w:rPr>
                <w:rFonts w:cs="Times New Roman"/>
                <w:b/>
              </w:rPr>
            </w:pPr>
            <w:r w:rsidRPr="00B313B0">
              <w:rPr>
                <w:rFonts w:cs="Times New Roman"/>
                <w:b/>
              </w:rPr>
              <w:t>Độc lập - Tự do - Hạnh phúc</w:t>
            </w:r>
          </w:p>
          <w:p w:rsidR="00E34FDE" w:rsidRPr="00B313B0" w:rsidRDefault="003D1640" w:rsidP="00D118CC">
            <w:pPr>
              <w:ind w:firstLine="567"/>
              <w:jc w:val="center"/>
              <w:rPr>
                <w:rFonts w:cs="Times New Roman"/>
              </w:rPr>
            </w:pPr>
            <w:r w:rsidRPr="003D1640">
              <w:rPr>
                <w:rFonts w:cs="Times New Roman"/>
                <w:noProof/>
                <w:kern w:val="18"/>
                <w:szCs w:val="28"/>
              </w:rPr>
              <w:pict>
                <v:line id="_x0000_s1027" style="position:absolute;left:0;text-align:left;z-index:251659264;visibility:visible" from="57.8pt,1.95pt" to="225.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E34FDE" w:rsidRPr="00B313B0" w:rsidRDefault="00E34FDE" w:rsidP="00D118CC">
            <w:pPr>
              <w:jc w:val="center"/>
              <w:rPr>
                <w:rFonts w:cs="Times New Roman"/>
                <w:i/>
              </w:rPr>
            </w:pPr>
            <w:r w:rsidRPr="00B313B0">
              <w:rPr>
                <w:rFonts w:cs="Times New Roman"/>
                <w:i/>
              </w:rPr>
              <w:t xml:space="preserve">Quảng Trị, ngày </w:t>
            </w:r>
            <w:r w:rsidR="00D35FC0">
              <w:rPr>
                <w:rFonts w:cs="Times New Roman"/>
                <w:i/>
              </w:rPr>
              <w:t>15</w:t>
            </w:r>
            <w:r w:rsidRPr="00B313B0">
              <w:rPr>
                <w:rFonts w:cs="Times New Roman"/>
                <w:i/>
              </w:rPr>
              <w:t xml:space="preserve"> tháng </w:t>
            </w:r>
            <w:r w:rsidR="00D35FC0">
              <w:rPr>
                <w:rFonts w:cs="Times New Roman"/>
                <w:i/>
              </w:rPr>
              <w:t>7</w:t>
            </w:r>
            <w:r w:rsidRPr="00B313B0">
              <w:rPr>
                <w:rFonts w:cs="Times New Roman"/>
                <w:i/>
              </w:rPr>
              <w:t xml:space="preserve"> năm 20</w:t>
            </w:r>
            <w:r w:rsidR="00EB1737" w:rsidRPr="00B313B0">
              <w:rPr>
                <w:rFonts w:cs="Times New Roman"/>
                <w:i/>
              </w:rPr>
              <w:t>2</w:t>
            </w:r>
            <w:r w:rsidR="00D35FC0">
              <w:rPr>
                <w:rFonts w:cs="Times New Roman"/>
                <w:i/>
              </w:rPr>
              <w:t>2</w:t>
            </w:r>
          </w:p>
        </w:tc>
      </w:tr>
    </w:tbl>
    <w:p w:rsidR="00846626" w:rsidRDefault="00846626" w:rsidP="00D118CC">
      <w:pPr>
        <w:pStyle w:val="Vnbnnidung30"/>
        <w:shd w:val="clear" w:color="auto" w:fill="auto"/>
        <w:spacing w:before="0" w:after="0" w:line="240" w:lineRule="auto"/>
        <w:ind w:firstLine="567"/>
        <w:jc w:val="both"/>
        <w:rPr>
          <w:rFonts w:cs="Times New Roman"/>
          <w:kern w:val="18"/>
          <w:sz w:val="28"/>
          <w:szCs w:val="28"/>
        </w:rPr>
      </w:pPr>
    </w:p>
    <w:p w:rsidR="00864532" w:rsidRPr="00B313B0" w:rsidRDefault="00864532" w:rsidP="00D118CC">
      <w:pPr>
        <w:pStyle w:val="Vnbnnidung30"/>
        <w:shd w:val="clear" w:color="auto" w:fill="auto"/>
        <w:spacing w:before="0" w:after="0" w:line="240" w:lineRule="auto"/>
        <w:ind w:firstLine="567"/>
        <w:jc w:val="both"/>
        <w:rPr>
          <w:rFonts w:cs="Times New Roman"/>
          <w:kern w:val="18"/>
          <w:sz w:val="28"/>
          <w:szCs w:val="28"/>
        </w:rPr>
      </w:pPr>
    </w:p>
    <w:p w:rsidR="00EB1737" w:rsidRPr="00B313B0" w:rsidRDefault="00EB1737" w:rsidP="00D118CC">
      <w:pPr>
        <w:jc w:val="center"/>
        <w:rPr>
          <w:rFonts w:cs="Times New Roman"/>
          <w:b/>
          <w:bCs/>
          <w:szCs w:val="28"/>
        </w:rPr>
      </w:pPr>
      <w:r w:rsidRPr="00B313B0">
        <w:rPr>
          <w:rFonts w:cs="Times New Roman"/>
          <w:b/>
          <w:bCs/>
        </w:rPr>
        <w:t>NGHỊ QUYẾT</w:t>
      </w:r>
    </w:p>
    <w:p w:rsidR="007C15E0" w:rsidRPr="00C042E3" w:rsidRDefault="007C15E0" w:rsidP="00D118CC">
      <w:pPr>
        <w:jc w:val="center"/>
        <w:rPr>
          <w:b/>
          <w:szCs w:val="28"/>
        </w:rPr>
      </w:pPr>
      <w:r w:rsidRPr="000E7A4B">
        <w:rPr>
          <w:b/>
          <w:szCs w:val="28"/>
        </w:rPr>
        <w:t>Q</w:t>
      </w:r>
      <w:r w:rsidRPr="000E7A4B">
        <w:rPr>
          <w:b/>
          <w:szCs w:val="28"/>
          <w:lang w:val="vi-VN"/>
        </w:rPr>
        <w:t xml:space="preserve">uy định </w:t>
      </w:r>
      <w:r>
        <w:rPr>
          <w:b/>
          <w:szCs w:val="28"/>
        </w:rPr>
        <w:t>nội dung, mức chi cho công tác quản lý nhà nước về thi hành pháp luật xử lý vi phạm hành chính trên địa bàn tỉnh Quảng Trị</w:t>
      </w:r>
    </w:p>
    <w:p w:rsidR="00EB1737" w:rsidRPr="00B313B0" w:rsidRDefault="003D1640" w:rsidP="00D118CC">
      <w:pPr>
        <w:jc w:val="center"/>
        <w:rPr>
          <w:rFonts w:cs="Times New Roman"/>
          <w:b/>
          <w:bCs/>
        </w:rPr>
      </w:pPr>
      <w:r w:rsidRPr="003D1640">
        <w:rPr>
          <w:rFonts w:cs="Times New Roman"/>
          <w:b/>
          <w:noProof/>
          <w:sz w:val="26"/>
        </w:rPr>
        <w:pict>
          <v:line id="_x0000_s1029" style="position:absolute;left:0;text-align:left;z-index:251661312;visibility:visible" from="154.1pt,2.75pt" to="29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"/>
        </w:pict>
      </w:r>
    </w:p>
    <w:p w:rsidR="00195FA3" w:rsidRDefault="00195FA3" w:rsidP="00D118CC">
      <w:pPr>
        <w:jc w:val="center"/>
        <w:rPr>
          <w:rFonts w:cs="Times New Roman"/>
          <w:b/>
          <w:bCs/>
        </w:rPr>
      </w:pPr>
    </w:p>
    <w:p w:rsidR="00EB1737" w:rsidRPr="00B313B0" w:rsidRDefault="00EB1737" w:rsidP="00D118CC">
      <w:pPr>
        <w:jc w:val="center"/>
        <w:rPr>
          <w:rFonts w:cs="Times New Roman"/>
        </w:rPr>
      </w:pPr>
      <w:r w:rsidRPr="00B313B0">
        <w:rPr>
          <w:rFonts w:cs="Times New Roman"/>
          <w:b/>
          <w:bCs/>
        </w:rPr>
        <w:t>HỘI ĐỒNG NHÂN DÂN TỈNH QUẢNG TRỊ</w:t>
      </w:r>
    </w:p>
    <w:p w:rsidR="00EB1737" w:rsidRPr="00B313B0" w:rsidRDefault="00EB1737" w:rsidP="00D118CC">
      <w:pPr>
        <w:jc w:val="center"/>
        <w:rPr>
          <w:rFonts w:cs="Times New Roman"/>
          <w:b/>
          <w:bCs/>
        </w:rPr>
      </w:pPr>
      <w:r w:rsidRPr="00B313B0">
        <w:rPr>
          <w:rFonts w:cs="Times New Roman"/>
          <w:b/>
          <w:bCs/>
        </w:rPr>
        <w:t>KHÓA V</w:t>
      </w:r>
      <w:r w:rsidR="00321EFE">
        <w:rPr>
          <w:rFonts w:cs="Times New Roman"/>
          <w:b/>
          <w:bCs/>
        </w:rPr>
        <w:t>I</w:t>
      </w:r>
      <w:r w:rsidRPr="00B313B0">
        <w:rPr>
          <w:rFonts w:cs="Times New Roman"/>
          <w:b/>
          <w:bCs/>
        </w:rPr>
        <w:t>II,</w:t>
      </w:r>
      <w:r w:rsidRPr="00B313B0">
        <w:rPr>
          <w:rFonts w:cs="Times New Roman"/>
        </w:rPr>
        <w:t xml:space="preserve"> </w:t>
      </w:r>
      <w:r w:rsidRPr="00B313B0">
        <w:rPr>
          <w:rFonts w:cs="Times New Roman"/>
          <w:b/>
          <w:bCs/>
        </w:rPr>
        <w:t>KỲ HỌP THỨ</w:t>
      </w:r>
      <w:r w:rsidR="00321EFE">
        <w:rPr>
          <w:rFonts w:cs="Times New Roman"/>
          <w:b/>
          <w:bCs/>
        </w:rPr>
        <w:t xml:space="preserve"> </w:t>
      </w:r>
      <w:r w:rsidR="007C15E0">
        <w:rPr>
          <w:rFonts w:cs="Times New Roman"/>
          <w:b/>
          <w:bCs/>
        </w:rPr>
        <w:t>10</w:t>
      </w:r>
    </w:p>
    <w:p w:rsidR="00B809C2" w:rsidRDefault="00B809C2" w:rsidP="00D118CC">
      <w:pPr>
        <w:ind w:firstLine="567"/>
        <w:jc w:val="both"/>
        <w:rPr>
          <w:rFonts w:cs="Times New Roman"/>
        </w:rPr>
      </w:pPr>
    </w:p>
    <w:p w:rsidR="00335593" w:rsidRDefault="00335593" w:rsidP="00D118CC">
      <w:pPr>
        <w:spacing w:before="80"/>
        <w:ind w:firstLine="567"/>
        <w:jc w:val="both"/>
        <w:rPr>
          <w:bCs/>
          <w:i/>
          <w:szCs w:val="28"/>
        </w:rPr>
      </w:pPr>
      <w:r>
        <w:rPr>
          <w:bCs/>
          <w:i/>
          <w:szCs w:val="28"/>
        </w:rPr>
        <w:t xml:space="preserve">Căn cứ Luật Tổ chức chính quyền địa phương ngày 19/6/2015; </w:t>
      </w:r>
    </w:p>
    <w:p w:rsidR="00335593" w:rsidRDefault="00335593" w:rsidP="00D118CC">
      <w:pPr>
        <w:spacing w:before="80"/>
        <w:ind w:firstLine="567"/>
        <w:jc w:val="both"/>
        <w:rPr>
          <w:i/>
          <w:szCs w:val="28"/>
          <w:lang w:val="nl-NL"/>
        </w:rPr>
      </w:pPr>
      <w:r>
        <w:rPr>
          <w:i/>
          <w:szCs w:val="28"/>
          <w:lang w:val="nl-NL"/>
        </w:rPr>
        <w:t>Căn cứ Luật sửa đổi, bổ sung một số điều của Luật Tổ chức Chính phủ và Luật Tổ chức chính quyền địa phương ngày 22/11/2019;</w:t>
      </w:r>
    </w:p>
    <w:p w:rsidR="009B463A" w:rsidRDefault="009B463A" w:rsidP="00D118CC">
      <w:pPr>
        <w:spacing w:before="80"/>
        <w:ind w:firstLine="567"/>
        <w:jc w:val="both"/>
        <w:rPr>
          <w:rFonts w:eastAsia="Calibri" w:cs="Times New Roman"/>
          <w:i/>
          <w:szCs w:val="28"/>
          <w:lang w:val="pl-PL"/>
        </w:rPr>
      </w:pPr>
      <w:r>
        <w:rPr>
          <w:rFonts w:eastAsia="Calibri" w:cs="Times New Roman"/>
          <w:i/>
          <w:szCs w:val="28"/>
          <w:lang w:val="pl-PL"/>
        </w:rPr>
        <w:t>Căn cứ Luật Ngân sách nhà nước ngày 25</w:t>
      </w:r>
      <w:r w:rsidR="00EE7AB7">
        <w:rPr>
          <w:rFonts w:eastAsia="Calibri" w:cs="Times New Roman"/>
          <w:i/>
          <w:szCs w:val="28"/>
          <w:lang w:val="pl-PL"/>
        </w:rPr>
        <w:t>/6/</w:t>
      </w:r>
      <w:r>
        <w:rPr>
          <w:rFonts w:eastAsia="Calibri" w:cs="Times New Roman"/>
          <w:i/>
          <w:szCs w:val="28"/>
          <w:lang w:val="pl-PL"/>
        </w:rPr>
        <w:t>2015;</w:t>
      </w:r>
    </w:p>
    <w:p w:rsidR="00D35FC0" w:rsidRDefault="00D35FC0" w:rsidP="00D118CC">
      <w:pPr>
        <w:spacing w:before="80"/>
        <w:ind w:firstLine="567"/>
        <w:jc w:val="both"/>
        <w:rPr>
          <w:i/>
          <w:iCs/>
          <w:color w:val="000000"/>
          <w:szCs w:val="28"/>
          <w:shd w:val="clear" w:color="auto" w:fill="FFFFFF"/>
        </w:rPr>
      </w:pPr>
      <w:r w:rsidRPr="007C27A4">
        <w:rPr>
          <w:i/>
          <w:iCs/>
          <w:color w:val="000000"/>
          <w:szCs w:val="28"/>
          <w:shd w:val="clear" w:color="auto" w:fill="FFFFFF"/>
        </w:rPr>
        <w:t>Căn cứ Thông tư số </w:t>
      </w:r>
      <w:hyperlink r:id="rId7" w:tgtFrame="_blank" w:tooltip="Thông tư 19/2017/TT-BTC" w:history="1">
        <w:r w:rsidRPr="00D35FC0">
          <w:rPr>
            <w:rStyle w:val="Hyperlink"/>
            <w:i/>
            <w:iCs/>
            <w:color w:val="000000" w:themeColor="text1"/>
            <w:szCs w:val="28"/>
            <w:u w:val="none"/>
          </w:rPr>
          <w:t>19/2017/TT-BTC</w:t>
        </w:r>
      </w:hyperlink>
      <w:r w:rsidRPr="007C27A4">
        <w:rPr>
          <w:i/>
          <w:iCs/>
          <w:szCs w:val="28"/>
          <w:shd w:val="clear" w:color="auto" w:fill="FFFFFF"/>
        </w:rPr>
        <w:t> </w:t>
      </w:r>
      <w:r w:rsidRPr="007C27A4">
        <w:rPr>
          <w:i/>
          <w:iCs/>
          <w:color w:val="000000"/>
          <w:szCs w:val="28"/>
          <w:shd w:val="clear" w:color="auto" w:fill="FFFFFF"/>
        </w:rPr>
        <w:t>ngày 28 tháng 02 năm 2017</w:t>
      </w:r>
      <w:r>
        <w:rPr>
          <w:i/>
          <w:iCs/>
          <w:color w:val="000000"/>
          <w:szCs w:val="28"/>
          <w:shd w:val="clear" w:color="auto" w:fill="FFFFFF"/>
        </w:rPr>
        <w:t xml:space="preserve"> của </w:t>
      </w:r>
      <w:r w:rsidRPr="007C27A4">
        <w:rPr>
          <w:i/>
          <w:iCs/>
          <w:color w:val="000000"/>
          <w:szCs w:val="28"/>
          <w:shd w:val="clear" w:color="auto" w:fill="FFFFFF"/>
        </w:rPr>
        <w:t>Bộ Tài chính quy định việc lập dự toán, quản lý, sử dụng và quyết toán kinh phí ngân sách nhà nước cho công tác quản lý nhà nước về thi hành pháp luật xử lý vi phạm hành chính;</w:t>
      </w:r>
    </w:p>
    <w:p w:rsidR="00E22668" w:rsidRDefault="00E22668" w:rsidP="00D118CC">
      <w:pPr>
        <w:spacing w:before="80"/>
        <w:ind w:firstLine="567"/>
        <w:jc w:val="both"/>
        <w:rPr>
          <w:rFonts w:cs="Times New Roman"/>
          <w:i/>
          <w:iCs/>
          <w:spacing w:val="-2"/>
        </w:rPr>
      </w:pPr>
      <w:r w:rsidRPr="00B313B0">
        <w:rPr>
          <w:rFonts w:cs="Times New Roman"/>
          <w:i/>
          <w:iCs/>
          <w:spacing w:val="-2"/>
        </w:rPr>
        <w:t xml:space="preserve">Xét Tờ trình số </w:t>
      </w:r>
      <w:r w:rsidR="00FC0B2E">
        <w:rPr>
          <w:rFonts w:cs="Times New Roman"/>
          <w:i/>
          <w:iCs/>
          <w:spacing w:val="-2"/>
        </w:rPr>
        <w:t>112</w:t>
      </w:r>
      <w:r w:rsidR="00D35FC0">
        <w:rPr>
          <w:rFonts w:cs="Times New Roman"/>
          <w:i/>
          <w:iCs/>
          <w:spacing w:val="-2"/>
        </w:rPr>
        <w:t xml:space="preserve">/TTr-UBND ngày </w:t>
      </w:r>
      <w:r w:rsidR="00FC0B2E">
        <w:rPr>
          <w:rFonts w:cs="Times New Roman"/>
          <w:i/>
          <w:iCs/>
          <w:spacing w:val="-2"/>
        </w:rPr>
        <w:t>29/6</w:t>
      </w:r>
      <w:r w:rsidRPr="00B313B0">
        <w:rPr>
          <w:rFonts w:cs="Times New Roman"/>
          <w:i/>
          <w:iCs/>
          <w:spacing w:val="-2"/>
        </w:rPr>
        <w:t>/202</w:t>
      </w:r>
      <w:r w:rsidR="00D35FC0">
        <w:rPr>
          <w:rFonts w:cs="Times New Roman"/>
          <w:i/>
          <w:iCs/>
          <w:spacing w:val="-2"/>
        </w:rPr>
        <w:t>2</w:t>
      </w:r>
      <w:r w:rsidRPr="00B313B0">
        <w:rPr>
          <w:rFonts w:cs="Times New Roman"/>
          <w:i/>
          <w:iCs/>
          <w:spacing w:val="-2"/>
        </w:rPr>
        <w:t xml:space="preserve"> của Ủy ban nhân dân tỉnh </w:t>
      </w:r>
      <w:r w:rsidR="00371607">
        <w:rPr>
          <w:rFonts w:cs="Times New Roman"/>
          <w:i/>
          <w:iCs/>
          <w:spacing w:val="-2"/>
        </w:rPr>
        <w:t>d</w:t>
      </w:r>
      <w:r w:rsidR="00FC0B2E">
        <w:rPr>
          <w:rFonts w:cs="Times New Roman"/>
          <w:i/>
          <w:iCs/>
          <w:spacing w:val="-2"/>
        </w:rPr>
        <w:t>ự thảo N</w:t>
      </w:r>
      <w:r>
        <w:rPr>
          <w:rFonts w:cs="Times New Roman"/>
          <w:i/>
          <w:iCs/>
          <w:spacing w:val="-2"/>
        </w:rPr>
        <w:t xml:space="preserve">ghị quyết </w:t>
      </w:r>
      <w:r w:rsidR="00FC0B2E">
        <w:rPr>
          <w:rFonts w:cs="Times New Roman"/>
          <w:i/>
          <w:iCs/>
          <w:spacing w:val="-2"/>
        </w:rPr>
        <w:t>Quy định nội dung, mức chi cho công tác quản lý nhà nước về thi hành pháp luật xử lý vi phạm hành chính trên địa bàn tỉnh Quảng Trị</w:t>
      </w:r>
      <w:r w:rsidR="00371607">
        <w:rPr>
          <w:rFonts w:cs="Times New Roman"/>
          <w:i/>
          <w:iCs/>
          <w:spacing w:val="-2"/>
        </w:rPr>
        <w:t xml:space="preserve">; </w:t>
      </w:r>
      <w:r w:rsidRPr="00B313B0">
        <w:rPr>
          <w:rFonts w:cs="Times New Roman"/>
          <w:i/>
          <w:iCs/>
          <w:spacing w:val="-2"/>
        </w:rPr>
        <w:t>Báo cáo thẩm tra của Ban Pháp chế HĐND tỉnh</w:t>
      </w:r>
      <w:r>
        <w:rPr>
          <w:rFonts w:cs="Times New Roman"/>
          <w:i/>
          <w:iCs/>
          <w:spacing w:val="-2"/>
        </w:rPr>
        <w:t>; ý</w:t>
      </w:r>
      <w:r w:rsidRPr="00B313B0">
        <w:rPr>
          <w:rFonts w:cs="Times New Roman"/>
          <w:i/>
          <w:iCs/>
          <w:spacing w:val="-2"/>
        </w:rPr>
        <w:t xml:space="preserve"> kiến </w:t>
      </w:r>
      <w:r w:rsidR="00BC6329">
        <w:rPr>
          <w:rFonts w:cs="Times New Roman"/>
          <w:i/>
          <w:iCs/>
          <w:spacing w:val="-2"/>
        </w:rPr>
        <w:t xml:space="preserve">thảo </w:t>
      </w:r>
      <w:r w:rsidR="00E5443C">
        <w:rPr>
          <w:rFonts w:cs="Times New Roman"/>
          <w:i/>
          <w:iCs/>
          <w:spacing w:val="-2"/>
        </w:rPr>
        <w:t xml:space="preserve">luận </w:t>
      </w:r>
      <w:r w:rsidRPr="00B313B0">
        <w:rPr>
          <w:rFonts w:cs="Times New Roman"/>
          <w:i/>
          <w:iCs/>
          <w:spacing w:val="-2"/>
        </w:rPr>
        <w:t>của đại biểu Hội đồng nhân dân tỉ</w:t>
      </w:r>
      <w:r>
        <w:rPr>
          <w:rFonts w:cs="Times New Roman"/>
          <w:i/>
          <w:iCs/>
          <w:spacing w:val="-2"/>
        </w:rPr>
        <w:t>nh</w:t>
      </w:r>
      <w:r w:rsidR="00BC6329">
        <w:rPr>
          <w:rFonts w:cs="Times New Roman"/>
          <w:i/>
          <w:iCs/>
          <w:spacing w:val="-2"/>
        </w:rPr>
        <w:t xml:space="preserve"> tại kỳ họp</w:t>
      </w:r>
      <w:r>
        <w:rPr>
          <w:rFonts w:cs="Times New Roman"/>
          <w:i/>
          <w:iCs/>
          <w:spacing w:val="-2"/>
        </w:rPr>
        <w:t>.</w:t>
      </w:r>
    </w:p>
    <w:p w:rsidR="00D35FC0" w:rsidRPr="000E7A4B" w:rsidRDefault="00D35FC0" w:rsidP="00D118CC">
      <w:pPr>
        <w:spacing w:before="80"/>
        <w:jc w:val="center"/>
        <w:rPr>
          <w:szCs w:val="28"/>
        </w:rPr>
      </w:pPr>
      <w:r w:rsidRPr="000E7A4B">
        <w:rPr>
          <w:b/>
          <w:bCs/>
          <w:szCs w:val="28"/>
          <w:lang w:val="vi-VN"/>
        </w:rPr>
        <w:t>QUYẾT NGHỊ:</w:t>
      </w:r>
    </w:p>
    <w:p w:rsidR="00D35FC0" w:rsidRDefault="00D35FC0" w:rsidP="00D118CC">
      <w:pPr>
        <w:pStyle w:val="NormalWeb"/>
        <w:shd w:val="clear" w:color="auto" w:fill="FFFFFF"/>
        <w:spacing w:before="80" w:beforeAutospacing="0" w:after="0" w:afterAutospacing="0"/>
        <w:ind w:firstLine="720"/>
        <w:jc w:val="both"/>
        <w:rPr>
          <w:sz w:val="28"/>
          <w:szCs w:val="28"/>
        </w:rPr>
      </w:pPr>
      <w:r w:rsidRPr="000523A9">
        <w:rPr>
          <w:b/>
          <w:bCs/>
          <w:color w:val="000000"/>
          <w:sz w:val="28"/>
          <w:szCs w:val="28"/>
          <w:lang w:val="nl-NL"/>
        </w:rPr>
        <w:t>Điều 1. </w:t>
      </w:r>
      <w:r>
        <w:rPr>
          <w:b/>
          <w:bCs/>
          <w:color w:val="000000"/>
          <w:sz w:val="28"/>
          <w:szCs w:val="28"/>
          <w:lang w:val="vi-VN"/>
        </w:rPr>
        <w:t xml:space="preserve"> </w:t>
      </w:r>
      <w:r w:rsidR="0055759B">
        <w:rPr>
          <w:bCs/>
          <w:color w:val="000000"/>
          <w:sz w:val="28"/>
          <w:szCs w:val="28"/>
        </w:rPr>
        <w:t>Q</w:t>
      </w:r>
      <w:r>
        <w:rPr>
          <w:bCs/>
          <w:color w:val="000000"/>
          <w:sz w:val="28"/>
          <w:szCs w:val="28"/>
          <w:lang w:val="vi-VN"/>
        </w:rPr>
        <w:t>uy định</w:t>
      </w:r>
      <w:r>
        <w:rPr>
          <w:bCs/>
          <w:color w:val="000000"/>
          <w:sz w:val="28"/>
          <w:szCs w:val="28"/>
        </w:rPr>
        <w:t xml:space="preserve"> </w:t>
      </w:r>
      <w:r w:rsidRPr="00B105C5">
        <w:rPr>
          <w:sz w:val="28"/>
          <w:szCs w:val="28"/>
        </w:rPr>
        <w:t>nội dung</w:t>
      </w:r>
      <w:r>
        <w:rPr>
          <w:sz w:val="28"/>
          <w:szCs w:val="28"/>
        </w:rPr>
        <w:t xml:space="preserve">, </w:t>
      </w:r>
      <w:r w:rsidRPr="00B105C5">
        <w:rPr>
          <w:sz w:val="28"/>
          <w:szCs w:val="28"/>
        </w:rPr>
        <w:t>mức chi cho công tác quản lý n</w:t>
      </w:r>
      <w:r>
        <w:rPr>
          <w:sz w:val="28"/>
          <w:szCs w:val="28"/>
        </w:rPr>
        <w:t>hà nước về thi hành pháp luật</w:t>
      </w:r>
      <w:r w:rsidRPr="00B105C5">
        <w:rPr>
          <w:sz w:val="28"/>
          <w:szCs w:val="28"/>
        </w:rPr>
        <w:t xml:space="preserve"> xử lý vi phạm hành chính trên địa bàn tỉnh </w:t>
      </w:r>
      <w:r w:rsidR="00FC0B2E">
        <w:rPr>
          <w:sz w:val="28"/>
          <w:szCs w:val="28"/>
        </w:rPr>
        <w:t>Quảng Trị</w:t>
      </w:r>
    </w:p>
    <w:p w:rsidR="00D35FC0" w:rsidRPr="0055759B" w:rsidRDefault="00D118CC" w:rsidP="00D118CC">
      <w:pPr>
        <w:pStyle w:val="NormalWeb"/>
        <w:numPr>
          <w:ilvl w:val="0"/>
          <w:numId w:val="2"/>
        </w:numPr>
        <w:shd w:val="clear" w:color="auto" w:fill="FFFFFF"/>
        <w:spacing w:before="80" w:beforeAutospacing="0" w:after="0" w:afterAutospacing="0"/>
        <w:jc w:val="both"/>
        <w:rPr>
          <w:bCs/>
          <w:color w:val="000000"/>
          <w:sz w:val="28"/>
          <w:szCs w:val="28"/>
          <w:lang w:val="vi-VN"/>
        </w:rPr>
      </w:pPr>
      <w:r>
        <w:rPr>
          <w:bCs/>
          <w:color w:val="000000"/>
          <w:sz w:val="28"/>
          <w:szCs w:val="28"/>
        </w:rPr>
        <w:t>Phạm vi, đ</w:t>
      </w:r>
      <w:r w:rsidR="00D35FC0" w:rsidRPr="0055759B">
        <w:rPr>
          <w:bCs/>
          <w:color w:val="000000"/>
          <w:sz w:val="28"/>
          <w:szCs w:val="28"/>
          <w:lang w:val="vi-VN"/>
        </w:rPr>
        <w:t>ối tượng áp dụng</w:t>
      </w:r>
      <w:r>
        <w:rPr>
          <w:bCs/>
          <w:color w:val="000000"/>
          <w:sz w:val="28"/>
          <w:szCs w:val="28"/>
        </w:rPr>
        <w:t>.</w:t>
      </w:r>
    </w:p>
    <w:p w:rsidR="00D35FC0" w:rsidRDefault="00D35FC0" w:rsidP="00D118CC">
      <w:pPr>
        <w:pStyle w:val="NormalWeb"/>
        <w:shd w:val="clear" w:color="auto" w:fill="FFFFFF"/>
        <w:spacing w:before="80" w:beforeAutospacing="0" w:after="0" w:afterAutospacing="0"/>
        <w:ind w:firstLine="720"/>
        <w:jc w:val="both"/>
        <w:rPr>
          <w:sz w:val="28"/>
          <w:szCs w:val="28"/>
        </w:rPr>
      </w:pPr>
      <w:r>
        <w:rPr>
          <w:bCs/>
          <w:color w:val="000000"/>
          <w:sz w:val="28"/>
          <w:szCs w:val="28"/>
          <w:lang w:val="vi-VN"/>
        </w:rPr>
        <w:t>Nghị quyết này áp dụng đối với</w:t>
      </w:r>
      <w:r>
        <w:rPr>
          <w:bCs/>
          <w:color w:val="000000"/>
          <w:sz w:val="28"/>
          <w:szCs w:val="28"/>
        </w:rPr>
        <w:t xml:space="preserve"> Ủ</w:t>
      </w:r>
      <w:r>
        <w:rPr>
          <w:bCs/>
          <w:color w:val="000000"/>
          <w:sz w:val="28"/>
          <w:szCs w:val="28"/>
          <w:lang w:val="vi-VN"/>
        </w:rPr>
        <w:t xml:space="preserve">y ban nhân dân các cấp, các cơ quan, tổ chức, cá nhân có liên quan đến việc </w:t>
      </w:r>
      <w:r>
        <w:rPr>
          <w:bCs/>
          <w:color w:val="000000"/>
          <w:sz w:val="28"/>
          <w:szCs w:val="28"/>
        </w:rPr>
        <w:t xml:space="preserve">lập dự toán, </w:t>
      </w:r>
      <w:r w:rsidRPr="00917B7C">
        <w:rPr>
          <w:color w:val="000000"/>
          <w:sz w:val="28"/>
          <w:szCs w:val="28"/>
          <w:lang w:val="vi-VN"/>
        </w:rPr>
        <w:t>quản lý, sử dụng và quyết toán kinh phí ngân sách nhà nước cho công tác quản lý nhà nước về thi hành pháp luật xử lý vi phạm hành chính trên địa bàn</w:t>
      </w:r>
      <w:r w:rsidRPr="00B105C5">
        <w:rPr>
          <w:sz w:val="28"/>
          <w:szCs w:val="28"/>
        </w:rPr>
        <w:t xml:space="preserve"> tỉnh</w:t>
      </w:r>
      <w:r>
        <w:rPr>
          <w:sz w:val="28"/>
          <w:szCs w:val="28"/>
        </w:rPr>
        <w:t xml:space="preserve"> Quảng Trị.</w:t>
      </w:r>
    </w:p>
    <w:p w:rsidR="00D35FC0" w:rsidRPr="0055759B" w:rsidRDefault="0055759B" w:rsidP="00D118CC">
      <w:pPr>
        <w:pStyle w:val="NormalWeb"/>
        <w:shd w:val="clear" w:color="auto" w:fill="FFFFFF"/>
        <w:spacing w:before="80" w:beforeAutospacing="0" w:after="0" w:afterAutospacing="0"/>
        <w:ind w:firstLine="720"/>
        <w:jc w:val="both"/>
        <w:rPr>
          <w:bCs/>
          <w:color w:val="000000"/>
          <w:sz w:val="28"/>
          <w:szCs w:val="28"/>
        </w:rPr>
      </w:pPr>
      <w:r w:rsidRPr="0055759B">
        <w:rPr>
          <w:bCs/>
          <w:color w:val="000000"/>
          <w:sz w:val="28"/>
          <w:szCs w:val="28"/>
          <w:lang w:val="nl-NL"/>
        </w:rPr>
        <w:t>2.</w:t>
      </w:r>
      <w:r w:rsidR="00D35FC0" w:rsidRPr="0055759B">
        <w:rPr>
          <w:bCs/>
          <w:color w:val="000000"/>
          <w:sz w:val="28"/>
          <w:szCs w:val="28"/>
          <w:lang w:val="vi-VN"/>
        </w:rPr>
        <w:t xml:space="preserve"> Nội dung </w:t>
      </w:r>
      <w:r w:rsidR="00D35FC0" w:rsidRPr="0055759B">
        <w:rPr>
          <w:bCs/>
          <w:color w:val="000000"/>
          <w:sz w:val="28"/>
          <w:szCs w:val="28"/>
        </w:rPr>
        <w:t>chi</w:t>
      </w:r>
      <w:r w:rsidR="00D118CC">
        <w:rPr>
          <w:bCs/>
          <w:color w:val="000000"/>
          <w:sz w:val="28"/>
          <w:szCs w:val="28"/>
        </w:rPr>
        <w:t>.</w:t>
      </w:r>
    </w:p>
    <w:p w:rsidR="00D35FC0" w:rsidRPr="009C1FBF" w:rsidRDefault="00D35FC0" w:rsidP="00D118CC">
      <w:pPr>
        <w:shd w:val="clear" w:color="auto" w:fill="FFFFFF"/>
        <w:spacing w:before="80"/>
        <w:ind w:firstLine="720"/>
        <w:jc w:val="both"/>
        <w:rPr>
          <w:color w:val="000000"/>
          <w:szCs w:val="28"/>
        </w:rPr>
      </w:pPr>
      <w:r w:rsidRPr="00917B7C">
        <w:rPr>
          <w:color w:val="000000"/>
          <w:szCs w:val="28"/>
          <w:lang w:val="vi-VN"/>
        </w:rPr>
        <w:t>Thực hiện theo các nội dung chi được quy định tại Điều 3</w:t>
      </w:r>
      <w:r w:rsidR="00FC0B2E">
        <w:rPr>
          <w:color w:val="000000"/>
          <w:szCs w:val="28"/>
        </w:rPr>
        <w:t>,</w:t>
      </w:r>
      <w:r w:rsidRPr="00917B7C">
        <w:rPr>
          <w:color w:val="000000"/>
          <w:szCs w:val="28"/>
          <w:lang w:val="vi-VN"/>
        </w:rPr>
        <w:t xml:space="preserve"> Thông tư số 19/2017/TT-BTC ngày 28 tháng 02 năm 2017 của Bộ Tài chính quy định việc lập dự toán, quản lý, sử dụng và quyết toán kinh phí ngân sách nhà nước cho công tác quản lý nhà nước về thi hành pháp luật xử lý vi phạm hành chính.</w:t>
      </w:r>
    </w:p>
    <w:p w:rsidR="00D35FC0" w:rsidRPr="0055759B" w:rsidRDefault="0055759B" w:rsidP="00D118CC">
      <w:pPr>
        <w:pStyle w:val="NormalWeb"/>
        <w:shd w:val="clear" w:color="auto" w:fill="FFFFFF"/>
        <w:spacing w:before="80" w:beforeAutospacing="0" w:after="0" w:afterAutospacing="0"/>
        <w:ind w:firstLine="720"/>
        <w:jc w:val="both"/>
        <w:rPr>
          <w:bCs/>
          <w:color w:val="000000"/>
          <w:sz w:val="28"/>
          <w:szCs w:val="28"/>
        </w:rPr>
      </w:pPr>
      <w:r w:rsidRPr="0055759B">
        <w:rPr>
          <w:b/>
          <w:bCs/>
          <w:color w:val="000000"/>
          <w:sz w:val="28"/>
          <w:szCs w:val="28"/>
        </w:rPr>
        <w:lastRenderedPageBreak/>
        <w:t xml:space="preserve">Điều 2. </w:t>
      </w:r>
      <w:r w:rsidR="00F7104C" w:rsidRPr="00F7104C">
        <w:rPr>
          <w:bCs/>
          <w:color w:val="000000"/>
          <w:sz w:val="28"/>
          <w:szCs w:val="28"/>
        </w:rPr>
        <w:t>M</w:t>
      </w:r>
      <w:r w:rsidR="00D35FC0" w:rsidRPr="0055759B">
        <w:rPr>
          <w:bCs/>
          <w:color w:val="000000"/>
          <w:sz w:val="28"/>
          <w:szCs w:val="28"/>
          <w:lang w:val="vi-VN"/>
        </w:rPr>
        <w:t>ức chi</w:t>
      </w:r>
    </w:p>
    <w:p w:rsidR="00D35FC0" w:rsidRPr="00455F24" w:rsidRDefault="0055759B" w:rsidP="00D118CC">
      <w:pPr>
        <w:shd w:val="clear" w:color="auto" w:fill="FFFFFF"/>
        <w:spacing w:before="80"/>
        <w:ind w:firstLine="720"/>
        <w:jc w:val="both"/>
        <w:rPr>
          <w:color w:val="000000"/>
          <w:szCs w:val="28"/>
        </w:rPr>
      </w:pPr>
      <w:r>
        <w:rPr>
          <w:color w:val="000000"/>
          <w:szCs w:val="28"/>
        </w:rPr>
        <w:t>1.</w:t>
      </w:r>
      <w:r w:rsidR="00D35FC0" w:rsidRPr="00917B7C">
        <w:rPr>
          <w:color w:val="000000"/>
          <w:szCs w:val="28"/>
          <w:lang w:val="vi-VN"/>
        </w:rPr>
        <w:t xml:space="preserve"> Đối với các nội dung chi được quy định tại Khoản 1 đến Khoản 13 Điều 3</w:t>
      </w:r>
      <w:r w:rsidR="00455F24">
        <w:rPr>
          <w:color w:val="000000"/>
          <w:szCs w:val="28"/>
        </w:rPr>
        <w:t>,</w:t>
      </w:r>
      <w:r w:rsidR="00D35FC0" w:rsidRPr="00917B7C">
        <w:rPr>
          <w:color w:val="000000"/>
          <w:szCs w:val="28"/>
          <w:lang w:val="vi-VN"/>
        </w:rPr>
        <w:t xml:space="preserve"> </w:t>
      </w:r>
      <w:r w:rsidR="00455F24" w:rsidRPr="00455F24">
        <w:rPr>
          <w:iCs/>
          <w:color w:val="000000"/>
          <w:szCs w:val="28"/>
          <w:shd w:val="clear" w:color="auto" w:fill="FFFFFF"/>
        </w:rPr>
        <w:t>Thông tư số </w:t>
      </w:r>
      <w:hyperlink r:id="rId8" w:tgtFrame="_blank" w:tooltip="Thông tư 19/2017/TT-BTC" w:history="1">
        <w:r w:rsidR="00455F24" w:rsidRPr="00455F24">
          <w:rPr>
            <w:rStyle w:val="Hyperlink"/>
            <w:iCs/>
            <w:color w:val="000000" w:themeColor="text1"/>
            <w:szCs w:val="28"/>
            <w:u w:val="none"/>
          </w:rPr>
          <w:t>19/2017/TT-BTC</w:t>
        </w:r>
      </w:hyperlink>
      <w:r w:rsidR="00455F24" w:rsidRPr="00455F24">
        <w:rPr>
          <w:iCs/>
          <w:szCs w:val="28"/>
          <w:shd w:val="clear" w:color="auto" w:fill="FFFFFF"/>
        </w:rPr>
        <w:t> </w:t>
      </w:r>
      <w:r w:rsidR="00455F24" w:rsidRPr="00455F24">
        <w:rPr>
          <w:iCs/>
          <w:color w:val="000000"/>
          <w:szCs w:val="28"/>
          <w:shd w:val="clear" w:color="auto" w:fill="FFFFFF"/>
        </w:rPr>
        <w:t>ngày 28 tháng 02 năm 2017 của Bộ Tài chính quy định việc lập dự toán, quản lý, sử dụng và quyết toán kinh phí ngân sách nhà nước cho công tác quản lý nhà nước về thi hành pháp luật xử lý vi phạm hành chính</w:t>
      </w:r>
      <w:r w:rsidR="00455F24">
        <w:rPr>
          <w:iCs/>
          <w:color w:val="000000"/>
          <w:szCs w:val="28"/>
          <w:shd w:val="clear" w:color="auto" w:fill="FFFFFF"/>
        </w:rPr>
        <w:t xml:space="preserve"> </w:t>
      </w:r>
      <w:r w:rsidR="00D35FC0" w:rsidRPr="00455F24">
        <w:rPr>
          <w:color w:val="000000"/>
          <w:szCs w:val="28"/>
          <w:lang w:val="vi-VN"/>
        </w:rPr>
        <w:t>đã có chế độ, tiêu chuẩn, định mức chi hiện hành thực hiện theo chế độ hiện hành.</w:t>
      </w:r>
    </w:p>
    <w:p w:rsidR="00E14113" w:rsidRDefault="0055759B" w:rsidP="00D118CC">
      <w:pPr>
        <w:shd w:val="clear" w:color="auto" w:fill="FFFFFF"/>
        <w:spacing w:before="80"/>
        <w:ind w:firstLine="720"/>
        <w:jc w:val="both"/>
        <w:rPr>
          <w:color w:val="000000"/>
          <w:szCs w:val="28"/>
        </w:rPr>
      </w:pPr>
      <w:r>
        <w:rPr>
          <w:color w:val="000000"/>
          <w:szCs w:val="28"/>
        </w:rPr>
        <w:t>2.</w:t>
      </w:r>
      <w:r w:rsidR="00D35FC0" w:rsidRPr="00917B7C">
        <w:rPr>
          <w:color w:val="000000"/>
          <w:szCs w:val="28"/>
          <w:lang w:val="vi-VN"/>
        </w:rPr>
        <w:t xml:space="preserve"> </w:t>
      </w:r>
      <w:r w:rsidR="00F7104C">
        <w:rPr>
          <w:color w:val="000000"/>
          <w:szCs w:val="28"/>
        </w:rPr>
        <w:t xml:space="preserve">Ngoài </w:t>
      </w:r>
      <w:r w:rsidR="00DA24F6">
        <w:rPr>
          <w:color w:val="000000"/>
          <w:szCs w:val="28"/>
        </w:rPr>
        <w:t>r</w:t>
      </w:r>
      <w:r w:rsidR="00F7104C">
        <w:rPr>
          <w:color w:val="000000"/>
          <w:szCs w:val="28"/>
        </w:rPr>
        <w:t xml:space="preserve">a, </w:t>
      </w:r>
      <w:r w:rsidR="00E14113">
        <w:rPr>
          <w:color w:val="000000"/>
          <w:szCs w:val="28"/>
        </w:rPr>
        <w:t>Nghị quyết hướng d</w:t>
      </w:r>
      <w:r w:rsidR="004017AC">
        <w:rPr>
          <w:color w:val="000000"/>
          <w:szCs w:val="28"/>
        </w:rPr>
        <w:t>ẫ</w:t>
      </w:r>
      <w:r w:rsidR="00E14113">
        <w:rPr>
          <w:color w:val="000000"/>
          <w:szCs w:val="28"/>
        </w:rPr>
        <w:t>n thêm m</w:t>
      </w:r>
      <w:r w:rsidR="00D35FC0" w:rsidRPr="00917B7C">
        <w:rPr>
          <w:color w:val="000000"/>
          <w:szCs w:val="28"/>
          <w:lang w:val="vi-VN"/>
        </w:rPr>
        <w:t>ột số khoản chi có tính chất đặc thù trong theo dõi thi hành pháp luật xử lý vi phạm hành chính</w:t>
      </w:r>
      <w:r w:rsidR="00E14113">
        <w:rPr>
          <w:color w:val="000000"/>
          <w:szCs w:val="28"/>
        </w:rPr>
        <w:t>, gồm:</w:t>
      </w:r>
    </w:p>
    <w:p w:rsidR="0055759B" w:rsidRPr="00FC0B2E" w:rsidRDefault="0055759B" w:rsidP="00D118CC">
      <w:pPr>
        <w:shd w:val="clear" w:color="auto" w:fill="FFFFFF"/>
        <w:spacing w:before="80"/>
        <w:ind w:firstLine="720"/>
        <w:jc w:val="both"/>
        <w:rPr>
          <w:color w:val="000000"/>
          <w:szCs w:val="28"/>
        </w:rPr>
      </w:pPr>
      <w:r w:rsidRPr="00917B7C">
        <w:rPr>
          <w:color w:val="000000"/>
          <w:szCs w:val="28"/>
          <w:lang w:val="vi-VN"/>
        </w:rPr>
        <w:t>a) Chi tổ chức cuộc thi, hội thi công tác quản lý nhà nước về thi hành pháp luật xử lý vi phạm hàn</w:t>
      </w:r>
      <w:r>
        <w:rPr>
          <w:color w:val="000000"/>
          <w:szCs w:val="28"/>
          <w:lang w:val="vi-VN"/>
        </w:rPr>
        <w:t xml:space="preserve">h chính thực hiện theo </w:t>
      </w:r>
      <w:r>
        <w:rPr>
          <w:color w:val="000000"/>
          <w:szCs w:val="28"/>
        </w:rPr>
        <w:t xml:space="preserve">Nghị quyết số 16/2015/NQ-HĐND ngày 17/7/2015 của Hội đồng nhân dân tỉnh quy định mức chi đối với công tác </w:t>
      </w:r>
      <w:r w:rsidRPr="00917B7C">
        <w:rPr>
          <w:color w:val="000000"/>
          <w:szCs w:val="28"/>
          <w:lang w:val="vi-VN"/>
        </w:rPr>
        <w:t>phổ biến, giáo dục pháp luật</w:t>
      </w:r>
      <w:r>
        <w:rPr>
          <w:color w:val="000000"/>
          <w:szCs w:val="28"/>
        </w:rPr>
        <w:t>, hòa giải ở cơ sở;</w:t>
      </w:r>
      <w:r w:rsidRPr="00917B7C">
        <w:rPr>
          <w:color w:val="000000"/>
          <w:szCs w:val="28"/>
          <w:lang w:val="vi-VN"/>
        </w:rPr>
        <w:t xml:space="preserve"> chuẩn tiếp cận pháp luật của người dân tại cơ sở</w:t>
      </w:r>
      <w:r>
        <w:rPr>
          <w:color w:val="000000"/>
          <w:szCs w:val="28"/>
        </w:rPr>
        <w:t xml:space="preserve"> trên địa bàn tỉnh Quảng Trị</w:t>
      </w:r>
      <w:r w:rsidR="00FC0B2E">
        <w:rPr>
          <w:color w:val="000000"/>
          <w:szCs w:val="28"/>
        </w:rPr>
        <w:t>.</w:t>
      </w:r>
    </w:p>
    <w:p w:rsidR="0055759B" w:rsidRPr="0049755B" w:rsidRDefault="0055759B" w:rsidP="00D118CC">
      <w:pPr>
        <w:shd w:val="clear" w:color="auto" w:fill="FFFFFF"/>
        <w:spacing w:before="80"/>
        <w:ind w:firstLine="720"/>
        <w:jc w:val="both"/>
        <w:rPr>
          <w:color w:val="000000"/>
          <w:szCs w:val="28"/>
        </w:rPr>
      </w:pPr>
      <w:r w:rsidRPr="00917B7C">
        <w:rPr>
          <w:color w:val="000000"/>
          <w:szCs w:val="28"/>
          <w:lang w:val="vi-VN"/>
        </w:rPr>
        <w:t xml:space="preserve">b) Chi mua, thuê trang thiết bị phục vụ cho công tác quản lý nhà nước về thi hành pháp luật xử lý vi phạm hành chính </w:t>
      </w:r>
      <w:r w:rsidRPr="0049755B">
        <w:rPr>
          <w:color w:val="000000"/>
          <w:szCs w:val="28"/>
          <w:lang w:val="vi-VN"/>
        </w:rPr>
        <w:t xml:space="preserve">thực hiện theo tiêu chuẩn, định mức quy định </w:t>
      </w:r>
      <w:r w:rsidRPr="0049755B">
        <w:rPr>
          <w:color w:val="000000"/>
          <w:szCs w:val="28"/>
        </w:rPr>
        <w:t xml:space="preserve">tại Quyết định số 50/2017/QĐ-TTg ngày 31/12/2017 của Thủ tướng chính phủ quy định </w:t>
      </w:r>
      <w:r w:rsidRPr="0049755B">
        <w:rPr>
          <w:color w:val="000000"/>
          <w:szCs w:val="28"/>
          <w:lang w:val="vi-VN"/>
        </w:rPr>
        <w:t>tiêu chuẩn, định mức sử dụng máy móc, thiết bị</w:t>
      </w:r>
      <w:r w:rsidRPr="0049755B">
        <w:rPr>
          <w:color w:val="000000"/>
          <w:szCs w:val="28"/>
        </w:rPr>
        <w:t>.</w:t>
      </w:r>
    </w:p>
    <w:p w:rsidR="0055759B" w:rsidRPr="00FC0B2E" w:rsidRDefault="0055759B" w:rsidP="00D118CC">
      <w:pPr>
        <w:shd w:val="clear" w:color="auto" w:fill="FFFFFF"/>
        <w:spacing w:before="80"/>
        <w:ind w:firstLine="720"/>
        <w:jc w:val="both"/>
        <w:rPr>
          <w:color w:val="000000"/>
          <w:szCs w:val="28"/>
        </w:rPr>
      </w:pPr>
      <w:r w:rsidRPr="00917B7C">
        <w:rPr>
          <w:color w:val="000000"/>
          <w:szCs w:val="28"/>
          <w:lang w:val="vi-VN"/>
        </w:rPr>
        <w:t>Việc thanh toán căn cứ vào hóa đơn, chứng từ chi tiêu hợp pháp, hợp lệ được cấp có thẩm quyền phê duyệt trong dự toán ngân sách hàng năm; trường hợp thuộc diện phải đấu thầu mua sắm thì thực hiện theo các quy định của pháp luật đấu thầ</w:t>
      </w:r>
      <w:r w:rsidR="00FC0B2E">
        <w:rPr>
          <w:color w:val="000000"/>
          <w:szCs w:val="28"/>
          <w:lang w:val="vi-VN"/>
        </w:rPr>
        <w:t>u</w:t>
      </w:r>
      <w:r w:rsidR="00FC0B2E">
        <w:rPr>
          <w:color w:val="000000"/>
          <w:szCs w:val="28"/>
        </w:rPr>
        <w:t>.</w:t>
      </w:r>
    </w:p>
    <w:p w:rsidR="0055759B" w:rsidRPr="00FC0B2E" w:rsidRDefault="0055759B" w:rsidP="00D118CC">
      <w:pPr>
        <w:shd w:val="clear" w:color="auto" w:fill="FFFFFF"/>
        <w:spacing w:before="80"/>
        <w:ind w:firstLine="720"/>
        <w:jc w:val="both"/>
        <w:rPr>
          <w:color w:val="000000"/>
          <w:szCs w:val="28"/>
        </w:rPr>
      </w:pPr>
      <w:r w:rsidRPr="00917B7C">
        <w:rPr>
          <w:color w:val="000000"/>
          <w:szCs w:val="28"/>
          <w:lang w:val="vi-VN"/>
        </w:rPr>
        <w:t>c) Chi công bố kết quả xử lý hồ sơ xử lý vi phạm hành chính trái pháp luật trên các phương tiện thông tin đại chúng thực hiện theo định mức, đơn giá của các ngành có công việc tương tự và theo chứng từ chi thực tế hợp pháp và phải được cấp có thẩm quyền phê duyệt trước khi thực hiệ</w:t>
      </w:r>
      <w:r w:rsidR="00FC0B2E">
        <w:rPr>
          <w:color w:val="000000"/>
          <w:szCs w:val="28"/>
          <w:lang w:val="vi-VN"/>
        </w:rPr>
        <w:t>n</w:t>
      </w:r>
      <w:r w:rsidR="00FC0B2E">
        <w:rPr>
          <w:color w:val="000000"/>
          <w:szCs w:val="28"/>
        </w:rPr>
        <w:t>.</w:t>
      </w:r>
    </w:p>
    <w:p w:rsidR="0055759B" w:rsidRPr="00AA2C50" w:rsidRDefault="0055759B" w:rsidP="00D118CC">
      <w:pPr>
        <w:pStyle w:val="NormalWeb"/>
        <w:shd w:val="clear" w:color="auto" w:fill="FFFFFF"/>
        <w:spacing w:before="80" w:beforeAutospacing="0" w:after="0" w:afterAutospacing="0"/>
        <w:ind w:firstLine="720"/>
        <w:jc w:val="both"/>
        <w:rPr>
          <w:color w:val="000000"/>
          <w:sz w:val="28"/>
          <w:szCs w:val="28"/>
          <w:lang w:val="pl-PL"/>
        </w:rPr>
      </w:pPr>
      <w:r w:rsidRPr="00917B7C">
        <w:rPr>
          <w:color w:val="000000"/>
          <w:sz w:val="28"/>
          <w:szCs w:val="28"/>
          <w:lang w:val="vi-VN"/>
        </w:rPr>
        <w:t xml:space="preserve">d) Chi hỗ trợ cán bộ, công chức làm công tác kiểm tra, đánh giá các văn bản, tài liệu trong hồ sơ xử phạt vi phạm hành chính có nội dung phức tạp, phạm vi rộng, ảnh hưởng đến nhiều đối tượng: </w:t>
      </w:r>
      <w:r w:rsidRPr="00AA2C50">
        <w:rPr>
          <w:color w:val="000000"/>
          <w:sz w:val="28"/>
          <w:szCs w:val="28"/>
          <w:lang w:val="pl-PL"/>
        </w:rPr>
        <w:t>Mức chi 500.000 đồng/hồ sơ đối với cấp tỉnh; mức chi 450.000 đồng/hồ sơ đối với huyện, thị xã, thành phố; mức chi 400.000 đồng/hồ sơ đối với xã, phường, thị trấn.</w:t>
      </w:r>
    </w:p>
    <w:p w:rsidR="0055759B" w:rsidRDefault="0055759B" w:rsidP="00D118CC">
      <w:pPr>
        <w:shd w:val="clear" w:color="auto" w:fill="FFFFFF"/>
        <w:spacing w:before="80"/>
        <w:ind w:firstLine="720"/>
        <w:jc w:val="both"/>
        <w:rPr>
          <w:color w:val="000000"/>
          <w:szCs w:val="28"/>
          <w:lang w:val="nl-NL"/>
        </w:rPr>
      </w:pPr>
      <w:r w:rsidRPr="00917B7C">
        <w:rPr>
          <w:color w:val="000000"/>
          <w:szCs w:val="28"/>
          <w:lang w:val="vi-VN"/>
        </w:rPr>
        <w:t>đ) Các khoản chi khác có liên quan trực tiếp đến công tác quản lý nhà nước về thi hành pháp luật xử lý vi phạm hành chính (nếu có) theo hóa đơn, chứng từ chi thực tế hợp pháp, hợp lệ được cấp có thẩm quyền phê duyệt trong dự toán ngân sách hàng năm.</w:t>
      </w:r>
    </w:p>
    <w:p w:rsidR="00D35FC0" w:rsidRPr="0055759B" w:rsidRDefault="00FC0B2E" w:rsidP="00D118CC">
      <w:pPr>
        <w:pStyle w:val="NormalWeb"/>
        <w:shd w:val="clear" w:color="auto" w:fill="FFFFFF"/>
        <w:spacing w:before="80" w:beforeAutospacing="0" w:after="0" w:afterAutospacing="0"/>
        <w:ind w:firstLine="720"/>
        <w:jc w:val="both"/>
        <w:rPr>
          <w:color w:val="000000"/>
          <w:sz w:val="28"/>
          <w:szCs w:val="28"/>
          <w:lang w:val="pl-PL"/>
        </w:rPr>
      </w:pPr>
      <w:r w:rsidRPr="00FC0B2E">
        <w:rPr>
          <w:b/>
          <w:color w:val="000000"/>
          <w:sz w:val="28"/>
          <w:szCs w:val="28"/>
          <w:lang w:val="pl-PL"/>
        </w:rPr>
        <w:t xml:space="preserve">Điều </w:t>
      </w:r>
      <w:r w:rsidR="0055759B" w:rsidRPr="00FC0B2E">
        <w:rPr>
          <w:b/>
          <w:color w:val="000000"/>
          <w:sz w:val="28"/>
          <w:szCs w:val="28"/>
          <w:lang w:val="pl-PL"/>
        </w:rPr>
        <w:t>3.</w:t>
      </w:r>
      <w:r w:rsidR="00D35FC0" w:rsidRPr="0055759B">
        <w:rPr>
          <w:color w:val="000000"/>
          <w:sz w:val="28"/>
          <w:szCs w:val="28"/>
          <w:lang w:val="pl-PL"/>
        </w:rPr>
        <w:t xml:space="preserve"> Nguồn kinh phí thực hiện</w:t>
      </w:r>
    </w:p>
    <w:p w:rsidR="00371607" w:rsidRDefault="00D35FC0" w:rsidP="00371607">
      <w:pPr>
        <w:pStyle w:val="NormalWeb"/>
        <w:shd w:val="clear" w:color="auto" w:fill="FFFFFF"/>
        <w:spacing w:before="80" w:beforeAutospacing="0" w:after="0" w:afterAutospacing="0"/>
        <w:ind w:firstLine="720"/>
        <w:jc w:val="both"/>
        <w:rPr>
          <w:color w:val="000000"/>
          <w:sz w:val="28"/>
          <w:szCs w:val="28"/>
          <w:lang w:val="pl-PL"/>
        </w:rPr>
      </w:pPr>
      <w:r w:rsidRPr="000523A9">
        <w:rPr>
          <w:color w:val="000000"/>
          <w:sz w:val="28"/>
          <w:szCs w:val="28"/>
          <w:lang w:val="pl-PL"/>
        </w:rPr>
        <w:t xml:space="preserve">Kinh phí chi cho công tác quản lý nhà nước về thi hành pháp luật xử lý vi phạm hành chính trên địa bàn tỉnh </w:t>
      </w:r>
      <w:r>
        <w:rPr>
          <w:color w:val="000000"/>
          <w:sz w:val="28"/>
          <w:szCs w:val="28"/>
          <w:lang w:val="pl-PL"/>
        </w:rPr>
        <w:t xml:space="preserve">Quảng Trị </w:t>
      </w:r>
      <w:r w:rsidRPr="000523A9">
        <w:rPr>
          <w:color w:val="000000"/>
          <w:sz w:val="28"/>
          <w:szCs w:val="28"/>
          <w:lang w:val="pl-PL"/>
        </w:rPr>
        <w:t>thuộc ngân sách cấp nào thì ngân sách cấp đó bảo đảm theo phân cấp ngân sách nhà nước hiện hành.</w:t>
      </w:r>
    </w:p>
    <w:p w:rsidR="00371607" w:rsidRPr="00371607" w:rsidRDefault="009B463A" w:rsidP="00371607">
      <w:pPr>
        <w:pStyle w:val="NormalWeb"/>
        <w:shd w:val="clear" w:color="auto" w:fill="FFFFFF"/>
        <w:spacing w:before="80" w:beforeAutospacing="0" w:after="0" w:afterAutospacing="0"/>
        <w:ind w:firstLine="720"/>
        <w:jc w:val="both"/>
        <w:rPr>
          <w:spacing w:val="-6"/>
          <w:sz w:val="28"/>
          <w:szCs w:val="28"/>
          <w:lang w:val="pl-PL"/>
        </w:rPr>
      </w:pPr>
      <w:r w:rsidRPr="00371607">
        <w:rPr>
          <w:b/>
          <w:spacing w:val="-6"/>
          <w:sz w:val="28"/>
          <w:szCs w:val="28"/>
          <w:lang w:val="pl-PL"/>
        </w:rPr>
        <w:t xml:space="preserve">Điều </w:t>
      </w:r>
      <w:r w:rsidR="00FC0B2E" w:rsidRPr="00371607">
        <w:rPr>
          <w:b/>
          <w:spacing w:val="-6"/>
          <w:sz w:val="28"/>
          <w:szCs w:val="28"/>
          <w:lang w:val="pl-PL"/>
        </w:rPr>
        <w:t>4</w:t>
      </w:r>
      <w:r w:rsidRPr="00371607">
        <w:rPr>
          <w:b/>
          <w:spacing w:val="-6"/>
          <w:sz w:val="28"/>
          <w:szCs w:val="28"/>
          <w:lang w:val="pl-PL"/>
        </w:rPr>
        <w:t>.</w:t>
      </w:r>
      <w:r w:rsidRPr="00371607">
        <w:rPr>
          <w:spacing w:val="-6"/>
          <w:sz w:val="28"/>
          <w:szCs w:val="28"/>
          <w:lang w:val="pl-PL"/>
        </w:rPr>
        <w:t xml:space="preserve"> </w:t>
      </w:r>
      <w:r w:rsidR="00F3485B" w:rsidRPr="00371607">
        <w:rPr>
          <w:spacing w:val="-6"/>
          <w:sz w:val="28"/>
          <w:szCs w:val="28"/>
          <w:lang w:val="pl-PL"/>
        </w:rPr>
        <w:t>Tổ chức thực hiện</w:t>
      </w:r>
    </w:p>
    <w:p w:rsidR="00371607" w:rsidRDefault="00021FAD" w:rsidP="00371607">
      <w:pPr>
        <w:pStyle w:val="NormalWeb"/>
        <w:shd w:val="clear" w:color="auto" w:fill="FFFFFF"/>
        <w:spacing w:before="80" w:beforeAutospacing="0" w:after="0" w:afterAutospacing="0"/>
        <w:ind w:firstLine="720"/>
        <w:jc w:val="both"/>
        <w:rPr>
          <w:sz w:val="28"/>
          <w:szCs w:val="28"/>
        </w:rPr>
      </w:pPr>
      <w:r w:rsidRPr="00371607">
        <w:rPr>
          <w:sz w:val="28"/>
          <w:szCs w:val="28"/>
        </w:rPr>
        <w:t>1. Giao Ủy ban nhân dân tỉnh tổ chức triển khai thực hiện Nghị quyết.</w:t>
      </w:r>
    </w:p>
    <w:p w:rsidR="00371607" w:rsidRPr="00371607" w:rsidRDefault="00021FAD" w:rsidP="00371607">
      <w:pPr>
        <w:pStyle w:val="NormalWeb"/>
        <w:shd w:val="clear" w:color="auto" w:fill="FFFFFF"/>
        <w:spacing w:before="80" w:beforeAutospacing="0" w:after="0" w:afterAutospacing="0"/>
        <w:ind w:firstLine="720"/>
        <w:jc w:val="both"/>
        <w:rPr>
          <w:sz w:val="28"/>
          <w:szCs w:val="28"/>
        </w:rPr>
      </w:pPr>
      <w:r w:rsidRPr="00371607">
        <w:rPr>
          <w:sz w:val="28"/>
          <w:szCs w:val="28"/>
        </w:rPr>
        <w:lastRenderedPageBreak/>
        <w:t>2. Thường trực Hội đồng nhân dân, các Ban Hội đồng nhân dân tỉnh, đại biểu Hội đồng nhân dân tỉnh phối hợp với Ban Thường trực Ủy ban Mặt trận Tổ quốc Việt Nam tỉnh giám sát thực hiện Nghị quyết.</w:t>
      </w:r>
    </w:p>
    <w:p w:rsidR="00021FAD" w:rsidRPr="00371607" w:rsidRDefault="00021FAD" w:rsidP="00371607">
      <w:pPr>
        <w:pStyle w:val="NormalWeb"/>
        <w:shd w:val="clear" w:color="auto" w:fill="FFFFFF"/>
        <w:spacing w:before="80" w:beforeAutospacing="0" w:after="0" w:afterAutospacing="0"/>
        <w:ind w:firstLine="720"/>
        <w:jc w:val="both"/>
        <w:rPr>
          <w:color w:val="000000"/>
          <w:sz w:val="28"/>
          <w:szCs w:val="28"/>
          <w:lang w:val="pl-PL"/>
        </w:rPr>
      </w:pPr>
      <w:r w:rsidRPr="00371607">
        <w:rPr>
          <w:sz w:val="28"/>
          <w:szCs w:val="28"/>
          <w:lang w:val="nl-NL"/>
        </w:rPr>
        <w:t xml:space="preserve">Nghị quyết này được </w:t>
      </w:r>
      <w:r w:rsidRPr="00371607">
        <w:rPr>
          <w:color w:val="000000"/>
          <w:sz w:val="28"/>
          <w:szCs w:val="28"/>
        </w:rPr>
        <w:t xml:space="preserve">Hội đồng nhân dân tỉnh Quảng Trị, Khóa VIII, Kỳ họp thứ </w:t>
      </w:r>
      <w:r w:rsidR="0055759B" w:rsidRPr="00371607">
        <w:rPr>
          <w:color w:val="000000"/>
          <w:sz w:val="28"/>
          <w:szCs w:val="28"/>
        </w:rPr>
        <w:t>10</w:t>
      </w:r>
      <w:r w:rsidRPr="00371607">
        <w:rPr>
          <w:color w:val="000000"/>
          <w:sz w:val="28"/>
          <w:szCs w:val="28"/>
        </w:rPr>
        <w:t xml:space="preserve"> </w:t>
      </w:r>
      <w:r w:rsidRPr="00371607">
        <w:rPr>
          <w:sz w:val="28"/>
          <w:szCs w:val="28"/>
          <w:lang w:val="nl-NL"/>
        </w:rPr>
        <w:t xml:space="preserve">thông qua ngày </w:t>
      </w:r>
      <w:r w:rsidR="00D35FC0" w:rsidRPr="00371607">
        <w:rPr>
          <w:sz w:val="28"/>
          <w:szCs w:val="28"/>
          <w:lang w:val="nl-NL"/>
        </w:rPr>
        <w:t>15</w:t>
      </w:r>
      <w:r w:rsidRPr="00371607">
        <w:rPr>
          <w:sz w:val="28"/>
          <w:szCs w:val="28"/>
          <w:lang w:val="nl-NL"/>
        </w:rPr>
        <w:t xml:space="preserve"> tháng </w:t>
      </w:r>
      <w:r w:rsidR="00D35FC0" w:rsidRPr="00371607">
        <w:rPr>
          <w:sz w:val="28"/>
          <w:szCs w:val="28"/>
          <w:lang w:val="nl-NL"/>
        </w:rPr>
        <w:t>7</w:t>
      </w:r>
      <w:r w:rsidRPr="00371607">
        <w:rPr>
          <w:sz w:val="28"/>
          <w:szCs w:val="28"/>
          <w:lang w:val="nl-NL"/>
        </w:rPr>
        <w:t xml:space="preserve"> năm 202</w:t>
      </w:r>
      <w:r w:rsidR="00D35FC0" w:rsidRPr="00371607">
        <w:rPr>
          <w:sz w:val="28"/>
          <w:szCs w:val="28"/>
          <w:lang w:val="nl-NL"/>
        </w:rPr>
        <w:t>2</w:t>
      </w:r>
      <w:r w:rsidRPr="00371607">
        <w:rPr>
          <w:sz w:val="28"/>
          <w:szCs w:val="28"/>
          <w:lang w:val="nl-NL"/>
        </w:rPr>
        <w:t xml:space="preserve"> và có hiệu lực từ ngày 01 tháng </w:t>
      </w:r>
      <w:r w:rsidR="00D35FC0" w:rsidRPr="00371607">
        <w:rPr>
          <w:sz w:val="28"/>
          <w:szCs w:val="28"/>
          <w:lang w:val="nl-NL"/>
        </w:rPr>
        <w:t>8</w:t>
      </w:r>
      <w:r w:rsidRPr="00371607">
        <w:rPr>
          <w:sz w:val="28"/>
          <w:szCs w:val="28"/>
          <w:lang w:val="nl-NL"/>
        </w:rPr>
        <w:t xml:space="preserve"> năm 202</w:t>
      </w:r>
      <w:r w:rsidR="007C15E0" w:rsidRPr="00371607">
        <w:rPr>
          <w:sz w:val="28"/>
          <w:szCs w:val="28"/>
          <w:lang w:val="nl-NL"/>
        </w:rPr>
        <w:t>2</w:t>
      </w:r>
      <w:r w:rsidRPr="00371607">
        <w:rPr>
          <w:sz w:val="28"/>
          <w:szCs w:val="28"/>
          <w:lang w:val="nl-NL"/>
        </w:rPr>
        <w:t>./.</w:t>
      </w:r>
    </w:p>
    <w:p w:rsidR="00156364" w:rsidRPr="00DC6E40" w:rsidRDefault="00156364" w:rsidP="00D118CC">
      <w:pPr>
        <w:ind w:firstLine="567"/>
        <w:jc w:val="both"/>
        <w:rPr>
          <w:szCs w:val="28"/>
        </w:rPr>
      </w:pPr>
      <w:r w:rsidRPr="00DC6E40">
        <w:rPr>
          <w:szCs w:val="28"/>
        </w:rPr>
        <w:tab/>
      </w:r>
    </w:p>
    <w:p w:rsidR="00156364" w:rsidRPr="00DC6E40" w:rsidRDefault="003D1640" w:rsidP="00D118CC">
      <w:pPr>
        <w:tabs>
          <w:tab w:val="left" w:pos="6465"/>
        </w:tabs>
        <w:ind w:firstLine="567"/>
        <w:jc w:val="both"/>
        <w:rPr>
          <w:szCs w:val="28"/>
        </w:rPr>
      </w:pPr>
      <w:r>
        <w:rPr>
          <w:noProof/>
          <w:szCs w:val="28"/>
        </w:rPr>
        <w:pict>
          <v:shapetype id="_x0000_t202" coordsize="21600,21600" o:spt="202" path="m,l,21600r21600,l21600,xe">
            <v:stroke joinstyle="miter"/>
            <v:path gradientshapeok="t" o:connecttype="rect"/>
          </v:shapetype>
          <v:shape id="_x0000_s1031" type="#_x0000_t202" style="position:absolute;left:0;text-align:left;margin-left:301.05pt;margin-top:3.05pt;width:162.5pt;height:177.2pt;z-index:251664384" strokecolor="white">
            <v:textbox>
              <w:txbxContent>
                <w:p w:rsidR="00156364" w:rsidRPr="006E37D4" w:rsidRDefault="00156364" w:rsidP="00156364">
                  <w:pPr>
                    <w:jc w:val="center"/>
                    <w:rPr>
                      <w:b/>
                      <w:bCs/>
                      <w:szCs w:val="28"/>
                    </w:rPr>
                  </w:pPr>
                  <w:r w:rsidRPr="006E37D4">
                    <w:rPr>
                      <w:b/>
                      <w:bCs/>
                      <w:szCs w:val="28"/>
                    </w:rPr>
                    <w:t>CHỦ TỊCH</w:t>
                  </w:r>
                </w:p>
                <w:p w:rsidR="00156364" w:rsidRPr="006E37D4" w:rsidRDefault="00156364" w:rsidP="00156364">
                  <w:pPr>
                    <w:jc w:val="center"/>
                    <w:rPr>
                      <w:b/>
                      <w:bCs/>
                      <w:szCs w:val="28"/>
                    </w:rPr>
                  </w:pPr>
                </w:p>
                <w:p w:rsidR="00156364" w:rsidRPr="006E37D4" w:rsidRDefault="00156364" w:rsidP="00156364">
                  <w:pPr>
                    <w:jc w:val="center"/>
                    <w:rPr>
                      <w:b/>
                      <w:bCs/>
                      <w:szCs w:val="28"/>
                    </w:rPr>
                  </w:pPr>
                </w:p>
                <w:p w:rsidR="00156364" w:rsidRPr="006E37D4" w:rsidRDefault="00156364" w:rsidP="00156364">
                  <w:pPr>
                    <w:jc w:val="center"/>
                    <w:rPr>
                      <w:b/>
                      <w:bCs/>
                      <w:i/>
                      <w:szCs w:val="28"/>
                    </w:rPr>
                  </w:pPr>
                </w:p>
                <w:p w:rsidR="00156364" w:rsidRDefault="00156364" w:rsidP="00156364">
                  <w:pPr>
                    <w:jc w:val="center"/>
                    <w:rPr>
                      <w:b/>
                      <w:bCs/>
                      <w:i/>
                      <w:szCs w:val="28"/>
                    </w:rPr>
                  </w:pPr>
                </w:p>
                <w:p w:rsidR="003F0FA7" w:rsidRPr="006E37D4" w:rsidRDefault="003F0FA7" w:rsidP="00156364">
                  <w:pPr>
                    <w:jc w:val="center"/>
                    <w:rPr>
                      <w:b/>
                      <w:bCs/>
                      <w:i/>
                      <w:szCs w:val="28"/>
                    </w:rPr>
                  </w:pPr>
                </w:p>
                <w:p w:rsidR="00156364" w:rsidRDefault="00156364" w:rsidP="00156364">
                  <w:pPr>
                    <w:jc w:val="center"/>
                    <w:rPr>
                      <w:b/>
                      <w:bCs/>
                      <w:i/>
                      <w:szCs w:val="28"/>
                    </w:rPr>
                  </w:pPr>
                </w:p>
                <w:p w:rsidR="00156364" w:rsidRDefault="00156364" w:rsidP="00156364">
                  <w:pPr>
                    <w:jc w:val="center"/>
                    <w:rPr>
                      <w:b/>
                      <w:bCs/>
                      <w:i/>
                      <w:szCs w:val="28"/>
                    </w:rPr>
                  </w:pPr>
                </w:p>
                <w:p w:rsidR="00156364" w:rsidRPr="006E37D4" w:rsidRDefault="00156364" w:rsidP="00156364">
                  <w:pPr>
                    <w:jc w:val="center"/>
                    <w:rPr>
                      <w:b/>
                      <w:bCs/>
                      <w:i/>
                      <w:szCs w:val="28"/>
                    </w:rPr>
                  </w:pPr>
                  <w:r w:rsidRPr="00B313B0">
                    <w:rPr>
                      <w:rFonts w:cs="Times New Roman"/>
                      <w:b/>
                    </w:rPr>
                    <w:t>Nguyễn Đăng Quang</w:t>
                  </w:r>
                </w:p>
                <w:p w:rsidR="00156364" w:rsidRPr="00A435FE" w:rsidRDefault="00156364" w:rsidP="00156364">
                  <w:pPr>
                    <w:jc w:val="both"/>
                    <w:rPr>
                      <w:b/>
                      <w:bCs/>
                      <w:i/>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b/>
                      <w:bCs/>
                      <w:i/>
                      <w:sz w:val="24"/>
                    </w:rPr>
                  </w:pPr>
                </w:p>
                <w:p w:rsidR="00156364" w:rsidRDefault="00156364" w:rsidP="00156364">
                  <w:pPr>
                    <w:jc w:val="both"/>
                    <w:rPr>
                      <w:sz w:val="22"/>
                    </w:rPr>
                  </w:pPr>
                </w:p>
                <w:p w:rsidR="00156364" w:rsidRDefault="00156364" w:rsidP="00156364"/>
              </w:txbxContent>
            </v:textbox>
          </v:shape>
        </w:pict>
      </w:r>
      <w:r>
        <w:rPr>
          <w:noProof/>
          <w:szCs w:val="28"/>
        </w:rPr>
        <w:pict>
          <v:shape id="_x0000_s1030" type="#_x0000_t202" style="position:absolute;left:0;text-align:left;margin-left:-7.9pt;margin-top:5.2pt;width:282pt;height:271.75pt;z-index:251663360" strokecolor="white">
            <v:textbox style="mso-next-textbox:#_x0000_s1030">
              <w:txbxContent>
                <w:p w:rsidR="00156364" w:rsidRPr="00B313B0" w:rsidRDefault="00156364" w:rsidP="00772322">
                  <w:pPr>
                    <w:jc w:val="both"/>
                    <w:rPr>
                      <w:rFonts w:cs="Times New Roman"/>
                      <w:b/>
                      <w:i/>
                      <w:sz w:val="22"/>
                    </w:rPr>
                  </w:pPr>
                  <w:r w:rsidRPr="00B765F6">
                    <w:rPr>
                      <w:b/>
                      <w:bCs/>
                      <w:sz w:val="24"/>
                    </w:rPr>
                    <w:t xml:space="preserve"> </w:t>
                  </w:r>
                  <w:r w:rsidRPr="00B313B0">
                    <w:rPr>
                      <w:rFonts w:cs="Times New Roman"/>
                      <w:b/>
                      <w:i/>
                      <w:sz w:val="22"/>
                    </w:rPr>
                    <w:t>Nơi nhận:</w:t>
                  </w:r>
                </w:p>
                <w:p w:rsidR="00AD5AEC" w:rsidRDefault="00AD5AEC" w:rsidP="009B463A">
                  <w:pPr>
                    <w:jc w:val="both"/>
                    <w:rPr>
                      <w:rFonts w:eastAsia="Calibri" w:cs="Times New Roman"/>
                      <w:spacing w:val="-4"/>
                      <w:sz w:val="22"/>
                      <w:lang w:val="nl-NL"/>
                    </w:rPr>
                  </w:pPr>
                  <w:r>
                    <w:rPr>
                      <w:rFonts w:eastAsia="Calibri" w:cs="Times New Roman"/>
                      <w:spacing w:val="-4"/>
                      <w:sz w:val="22"/>
                      <w:lang w:val="nl-NL"/>
                    </w:rPr>
                    <w:t>- UBTVQH, Chính phủ;</w:t>
                  </w:r>
                </w:p>
                <w:p w:rsidR="009B463A" w:rsidRDefault="007C15E0" w:rsidP="009B463A">
                  <w:pPr>
                    <w:jc w:val="both"/>
                    <w:rPr>
                      <w:rFonts w:eastAsia="Calibri" w:cs="Times New Roman"/>
                      <w:spacing w:val="-4"/>
                      <w:sz w:val="22"/>
                      <w:lang w:val="nl-NL"/>
                    </w:rPr>
                  </w:pPr>
                  <w:r>
                    <w:rPr>
                      <w:rFonts w:eastAsia="Calibri" w:cs="Times New Roman"/>
                      <w:spacing w:val="-4"/>
                      <w:sz w:val="22"/>
                      <w:lang w:val="nl-NL"/>
                    </w:rPr>
                    <w:t xml:space="preserve">- </w:t>
                  </w:r>
                  <w:r w:rsidR="009B463A">
                    <w:rPr>
                      <w:rFonts w:eastAsia="Calibri" w:cs="Times New Roman"/>
                      <w:spacing w:val="-4"/>
                      <w:sz w:val="22"/>
                      <w:lang w:val="nl-NL"/>
                    </w:rPr>
                    <w:t>Bộ Tài chính</w:t>
                  </w:r>
                  <w:r w:rsidR="004B18C7">
                    <w:rPr>
                      <w:rFonts w:eastAsia="Calibri" w:cs="Times New Roman"/>
                      <w:spacing w:val="-4"/>
                      <w:sz w:val="22"/>
                      <w:lang w:val="nl-NL"/>
                    </w:rPr>
                    <w:t>, Bộ T</w:t>
                  </w:r>
                  <w:r w:rsidR="0075679A">
                    <w:rPr>
                      <w:rFonts w:eastAsia="Calibri" w:cs="Times New Roman"/>
                      <w:spacing w:val="-4"/>
                      <w:sz w:val="22"/>
                      <w:lang w:val="nl-NL"/>
                    </w:rPr>
                    <w:t>ư pháp</w:t>
                  </w:r>
                  <w:r w:rsidR="009B463A">
                    <w:rPr>
                      <w:rFonts w:eastAsia="Calibri" w:cs="Times New Roman"/>
                      <w:spacing w:val="-4"/>
                      <w:sz w:val="22"/>
                      <w:lang w:val="nl-NL"/>
                    </w:rPr>
                    <w:t>;</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Cục kiểm tra văn bản QPPL - Bộ Tư pháp;</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Bộ Tư lệnh</w:t>
                  </w:r>
                  <w:r w:rsidR="00267474">
                    <w:rPr>
                      <w:rFonts w:eastAsia="Calibri" w:cs="Times New Roman"/>
                      <w:spacing w:val="-4"/>
                      <w:sz w:val="22"/>
                      <w:lang w:val="nl-NL"/>
                    </w:rPr>
                    <w:t xml:space="preserve"> </w:t>
                  </w:r>
                  <w:r>
                    <w:rPr>
                      <w:rFonts w:eastAsia="Calibri" w:cs="Times New Roman"/>
                      <w:spacing w:val="-4"/>
                      <w:sz w:val="22"/>
                      <w:lang w:val="nl-NL"/>
                    </w:rPr>
                    <w:t>QK4;</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TVTU, TTHĐND, UBND, UBMTTQVN tỉnh;</w:t>
                  </w:r>
                </w:p>
                <w:p w:rsidR="00802BA3" w:rsidRDefault="009B463A" w:rsidP="00802BA3">
                  <w:pPr>
                    <w:jc w:val="both"/>
                    <w:rPr>
                      <w:rFonts w:eastAsia="Calibri" w:cs="Times New Roman"/>
                      <w:spacing w:val="-4"/>
                      <w:sz w:val="22"/>
                      <w:lang w:val="nl-NL"/>
                    </w:rPr>
                  </w:pPr>
                  <w:r>
                    <w:rPr>
                      <w:rFonts w:eastAsia="Calibri" w:cs="Times New Roman"/>
                      <w:spacing w:val="-4"/>
                      <w:sz w:val="22"/>
                      <w:lang w:val="nl-NL"/>
                    </w:rPr>
                    <w:t>- Đoàn Đại biểu Quốc hội tỉnh;</w:t>
                  </w:r>
                </w:p>
                <w:p w:rsidR="00802BA3" w:rsidRDefault="009B463A" w:rsidP="00802BA3">
                  <w:pPr>
                    <w:jc w:val="both"/>
                    <w:rPr>
                      <w:rFonts w:eastAsia="Calibri" w:cs="Times New Roman"/>
                      <w:spacing w:val="-4"/>
                      <w:sz w:val="22"/>
                      <w:lang w:val="nl-NL"/>
                    </w:rPr>
                  </w:pPr>
                  <w:r>
                    <w:rPr>
                      <w:rFonts w:eastAsia="Calibri" w:cs="Times New Roman"/>
                      <w:spacing w:val="-4"/>
                      <w:sz w:val="22"/>
                      <w:lang w:val="nl-NL"/>
                    </w:rPr>
                    <w:t>- Các sở, ban, ngành, đoàn thể cấp tỉnh;</w:t>
                  </w:r>
                  <w:r w:rsidR="00802BA3" w:rsidRPr="00802BA3">
                    <w:rPr>
                      <w:rFonts w:eastAsia="Calibri" w:cs="Times New Roman"/>
                      <w:spacing w:val="-4"/>
                      <w:sz w:val="22"/>
                      <w:lang w:val="nl-NL"/>
                    </w:rPr>
                    <w:t xml:space="preserve"> </w:t>
                  </w:r>
                </w:p>
                <w:p w:rsidR="009B463A" w:rsidRDefault="00802BA3" w:rsidP="009B463A">
                  <w:pPr>
                    <w:jc w:val="both"/>
                    <w:rPr>
                      <w:rFonts w:eastAsia="Calibri" w:cs="Times New Roman"/>
                      <w:spacing w:val="-4"/>
                      <w:sz w:val="22"/>
                      <w:lang w:val="nl-NL"/>
                    </w:rPr>
                  </w:pPr>
                  <w:r>
                    <w:rPr>
                      <w:rFonts w:eastAsia="Calibri" w:cs="Times New Roman"/>
                      <w:spacing w:val="-4"/>
                      <w:sz w:val="22"/>
                      <w:lang w:val="nl-NL"/>
                    </w:rPr>
                    <w:t xml:space="preserve">- </w:t>
                  </w:r>
                  <w:r w:rsidR="00F66D91">
                    <w:rPr>
                      <w:rFonts w:eastAsia="Calibri" w:cs="Times New Roman"/>
                      <w:spacing w:val="-4"/>
                      <w:sz w:val="22"/>
                      <w:lang w:val="nl-NL"/>
                    </w:rPr>
                    <w:t>Đ</w:t>
                  </w:r>
                  <w:r>
                    <w:rPr>
                      <w:rFonts w:eastAsia="Calibri" w:cs="Times New Roman"/>
                      <w:spacing w:val="-4"/>
                      <w:sz w:val="22"/>
                      <w:lang w:val="nl-NL"/>
                    </w:rPr>
                    <w:t>ại biểu HĐND tỉnh;</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xml:space="preserve">- VPTU, VP </w:t>
                  </w:r>
                  <w:r w:rsidR="00021FAD">
                    <w:rPr>
                      <w:rFonts w:eastAsia="Calibri" w:cs="Times New Roman"/>
                      <w:spacing w:val="-4"/>
                      <w:sz w:val="22"/>
                      <w:lang w:val="nl-NL"/>
                    </w:rPr>
                    <w:t>Đoàn ĐBQH&amp;</w:t>
                  </w:r>
                  <w:r>
                    <w:rPr>
                      <w:rFonts w:eastAsia="Calibri" w:cs="Times New Roman"/>
                      <w:spacing w:val="-4"/>
                      <w:sz w:val="22"/>
                      <w:lang w:val="nl-NL"/>
                    </w:rPr>
                    <w:t xml:space="preserve">HĐND tỉnh, VP UBND tỉnh; </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TT HĐND, UBND các huyện, thị xã, thành phố;</w:t>
                  </w:r>
                </w:p>
                <w:p w:rsidR="009B463A" w:rsidRDefault="009B463A" w:rsidP="009B463A">
                  <w:pPr>
                    <w:jc w:val="both"/>
                    <w:rPr>
                      <w:rFonts w:eastAsia="Calibri" w:cs="Times New Roman"/>
                      <w:spacing w:val="-4"/>
                      <w:sz w:val="22"/>
                      <w:lang w:val="nl-NL"/>
                    </w:rPr>
                  </w:pPr>
                  <w:r>
                    <w:rPr>
                      <w:rFonts w:eastAsia="Calibri" w:cs="Times New Roman"/>
                      <w:spacing w:val="-4"/>
                      <w:sz w:val="22"/>
                      <w:lang w:val="nl-NL"/>
                    </w:rPr>
                    <w:t>- Đài PT-TH tỉnh, Báo Quảng Trị;</w:t>
                  </w:r>
                </w:p>
                <w:p w:rsidR="009D4328" w:rsidRDefault="009D4328" w:rsidP="009D4328">
                  <w:pPr>
                    <w:jc w:val="both"/>
                    <w:rPr>
                      <w:rFonts w:eastAsia="Calibri" w:cs="Times New Roman"/>
                      <w:spacing w:val="-4"/>
                      <w:sz w:val="22"/>
                      <w:lang w:val="nl-NL"/>
                    </w:rPr>
                  </w:pPr>
                  <w:r>
                    <w:rPr>
                      <w:sz w:val="22"/>
                      <w:lang w:val="vi-VN"/>
                    </w:rPr>
                    <w:t xml:space="preserve">- </w:t>
                  </w:r>
                  <w:r>
                    <w:rPr>
                      <w:sz w:val="22"/>
                    </w:rPr>
                    <w:t>Cổng thông tin điện tử tỉnh</w:t>
                  </w:r>
                  <w:r w:rsidR="004B18C7">
                    <w:rPr>
                      <w:sz w:val="22"/>
                    </w:rPr>
                    <w:t xml:space="preserve">, </w:t>
                  </w:r>
                  <w:r>
                    <w:rPr>
                      <w:rFonts w:eastAsia="Calibri" w:cs="Times New Roman"/>
                      <w:spacing w:val="-4"/>
                      <w:sz w:val="22"/>
                      <w:lang w:val="nl-NL"/>
                    </w:rPr>
                    <w:t>Công báo tỉnh;</w:t>
                  </w:r>
                </w:p>
                <w:p w:rsidR="00156364" w:rsidRPr="00B313B0" w:rsidRDefault="009B463A" w:rsidP="009B463A">
                  <w:pPr>
                    <w:jc w:val="both"/>
                    <w:rPr>
                      <w:rFonts w:cs="Times New Roman"/>
                      <w:sz w:val="22"/>
                    </w:rPr>
                  </w:pPr>
                  <w:r>
                    <w:rPr>
                      <w:rFonts w:eastAsia="Calibri" w:cs="Times New Roman"/>
                      <w:spacing w:val="-4"/>
                      <w:sz w:val="22"/>
                      <w:lang w:val="nl-NL"/>
                    </w:rPr>
                    <w:t>- Lưu VT</w:t>
                  </w:r>
                  <w:r w:rsidR="004F52B4">
                    <w:rPr>
                      <w:rFonts w:eastAsia="Calibri" w:cs="Times New Roman"/>
                      <w:spacing w:val="-4"/>
                      <w:sz w:val="22"/>
                      <w:lang w:val="nl-NL"/>
                    </w:rPr>
                    <w:t xml:space="preserve"> HĐND</w:t>
                  </w:r>
                  <w:r w:rsidR="00021FAD">
                    <w:rPr>
                      <w:rFonts w:cs="Times New Roman"/>
                      <w:sz w:val="22"/>
                    </w:rPr>
                    <w:t>.</w:t>
                  </w:r>
                  <w:r w:rsidR="00156364" w:rsidRPr="00B313B0">
                    <w:rPr>
                      <w:rFonts w:cs="Times New Roman"/>
                      <w:sz w:val="22"/>
                    </w:rPr>
                    <w:t xml:space="preserve"> </w:t>
                  </w:r>
                </w:p>
              </w:txbxContent>
            </v:textbox>
          </v:shape>
        </w:pict>
      </w:r>
      <w:r w:rsidR="00156364" w:rsidRPr="00DC6E40">
        <w:rPr>
          <w:szCs w:val="28"/>
        </w:rPr>
        <w:tab/>
      </w: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156364" w:rsidRPr="00DC6E40" w:rsidRDefault="00156364" w:rsidP="00D118CC">
      <w:pPr>
        <w:ind w:firstLine="567"/>
        <w:jc w:val="both"/>
        <w:rPr>
          <w:szCs w:val="28"/>
        </w:rPr>
      </w:pPr>
    </w:p>
    <w:p w:rsidR="00650F2C" w:rsidRPr="00B313B0" w:rsidRDefault="00650F2C" w:rsidP="00D118CC">
      <w:pPr>
        <w:pStyle w:val="Vnbnnidung30"/>
        <w:shd w:val="clear" w:color="auto" w:fill="auto"/>
        <w:spacing w:before="0" w:after="0" w:line="240" w:lineRule="auto"/>
        <w:ind w:firstLine="567"/>
        <w:jc w:val="both"/>
        <w:rPr>
          <w:rFonts w:cs="Times New Roman"/>
          <w:b w:val="0"/>
          <w:kern w:val="18"/>
          <w:sz w:val="28"/>
          <w:szCs w:val="28"/>
        </w:rPr>
      </w:pPr>
    </w:p>
    <w:p w:rsidR="00112009" w:rsidRPr="00B313B0" w:rsidRDefault="00112009" w:rsidP="00D118CC">
      <w:pPr>
        <w:ind w:firstLine="567"/>
        <w:jc w:val="both"/>
        <w:rPr>
          <w:rFonts w:cs="Times New Roman"/>
        </w:rPr>
      </w:pPr>
      <w:r w:rsidRPr="00B313B0">
        <w:rPr>
          <w:rFonts w:cs="Times New Roman"/>
          <w:sz w:val="22"/>
        </w:rPr>
        <w:t>.</w:t>
      </w:r>
    </w:p>
    <w:p w:rsidR="00112009" w:rsidRPr="00B313B0" w:rsidRDefault="00112009" w:rsidP="00D118CC">
      <w:pPr>
        <w:pStyle w:val="Vnbnnidung30"/>
        <w:shd w:val="clear" w:color="auto" w:fill="auto"/>
        <w:spacing w:before="0" w:after="0" w:line="240" w:lineRule="auto"/>
        <w:ind w:firstLine="567"/>
        <w:jc w:val="both"/>
        <w:rPr>
          <w:rFonts w:cs="Times New Roman"/>
          <w:b w:val="0"/>
          <w:sz w:val="28"/>
          <w:szCs w:val="28"/>
        </w:rPr>
      </w:pPr>
    </w:p>
    <w:p w:rsidR="00F25857" w:rsidRPr="00B313B0" w:rsidRDefault="00F25857" w:rsidP="00D118CC">
      <w:pPr>
        <w:ind w:firstLine="567"/>
        <w:jc w:val="both"/>
        <w:rPr>
          <w:rFonts w:cs="Times New Roman"/>
        </w:rPr>
      </w:pPr>
    </w:p>
    <w:sectPr w:rsidR="00F25857" w:rsidRPr="00B313B0" w:rsidSect="00B809C2">
      <w:headerReference w:type="default" r:id="rId9"/>
      <w:footerReference w:type="default" r:id="rId10"/>
      <w:pgSz w:w="11907" w:h="16840" w:code="9"/>
      <w:pgMar w:top="1276" w:right="1134" w:bottom="1135" w:left="1701" w:header="720" w:footer="31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BE9" w:rsidRDefault="00E50BE9" w:rsidP="0048436C">
      <w:r>
        <w:separator/>
      </w:r>
    </w:p>
  </w:endnote>
  <w:endnote w:type="continuationSeparator" w:id="1">
    <w:p w:rsidR="00E50BE9" w:rsidRDefault="00E50BE9"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474"/>
      <w:docPartObj>
        <w:docPartGallery w:val="Page Numbers (Bottom of Page)"/>
        <w:docPartUnique/>
      </w:docPartObj>
    </w:sdtPr>
    <w:sdtContent>
      <w:p w:rsidR="0048436C" w:rsidRDefault="003D1640">
        <w:pPr>
          <w:pStyle w:val="Footer"/>
          <w:jc w:val="right"/>
        </w:pPr>
      </w:p>
    </w:sdtContent>
  </w:sdt>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BE9" w:rsidRDefault="00E50BE9" w:rsidP="0048436C">
      <w:r>
        <w:separator/>
      </w:r>
    </w:p>
  </w:footnote>
  <w:footnote w:type="continuationSeparator" w:id="1">
    <w:p w:rsidR="00E50BE9" w:rsidRDefault="00E50BE9"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878"/>
      <w:docPartObj>
        <w:docPartGallery w:val="Page Numbers (Top of Page)"/>
        <w:docPartUnique/>
      </w:docPartObj>
    </w:sdtPr>
    <w:sdtContent>
      <w:p w:rsidR="00E94879" w:rsidRDefault="003D1640">
        <w:pPr>
          <w:pStyle w:val="Header"/>
          <w:jc w:val="center"/>
        </w:pPr>
        <w:fldSimple w:instr=" PAGE   \* MERGEFORMAT ">
          <w:r w:rsidR="00E35E65">
            <w:rPr>
              <w:noProof/>
            </w:rPr>
            <w:t>3</w:t>
          </w:r>
        </w:fldSimple>
      </w:p>
    </w:sdtContent>
  </w:sdt>
  <w:p w:rsidR="00E94879" w:rsidRDefault="00E948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4334"/>
    <w:multiLevelType w:val="hybridMultilevel"/>
    <w:tmpl w:val="D722BD0C"/>
    <w:lvl w:ilvl="0" w:tplc="3CACE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28E631E"/>
    <w:multiLevelType w:val="hybridMultilevel"/>
    <w:tmpl w:val="BD1C560E"/>
    <w:lvl w:ilvl="0" w:tplc="94201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028D1"/>
    <w:rsid w:val="000063B8"/>
    <w:rsid w:val="00007FE0"/>
    <w:rsid w:val="000113C4"/>
    <w:rsid w:val="00012065"/>
    <w:rsid w:val="00021FAD"/>
    <w:rsid w:val="00025F89"/>
    <w:rsid w:val="00030D69"/>
    <w:rsid w:val="000322CB"/>
    <w:rsid w:val="00034FF1"/>
    <w:rsid w:val="0004259D"/>
    <w:rsid w:val="00084059"/>
    <w:rsid w:val="00085998"/>
    <w:rsid w:val="0009302C"/>
    <w:rsid w:val="000A06CD"/>
    <w:rsid w:val="000B3F29"/>
    <w:rsid w:val="000E3ED2"/>
    <w:rsid w:val="0010332E"/>
    <w:rsid w:val="001106AF"/>
    <w:rsid w:val="00112009"/>
    <w:rsid w:val="00113439"/>
    <w:rsid w:val="001150AE"/>
    <w:rsid w:val="00115DFB"/>
    <w:rsid w:val="00117E9E"/>
    <w:rsid w:val="001214B5"/>
    <w:rsid w:val="0013121E"/>
    <w:rsid w:val="001407D0"/>
    <w:rsid w:val="00144E32"/>
    <w:rsid w:val="00147ACB"/>
    <w:rsid w:val="00156364"/>
    <w:rsid w:val="00160CE9"/>
    <w:rsid w:val="0016130C"/>
    <w:rsid w:val="00173C1A"/>
    <w:rsid w:val="00181ACA"/>
    <w:rsid w:val="001837F0"/>
    <w:rsid w:val="00183FF1"/>
    <w:rsid w:val="00195FA3"/>
    <w:rsid w:val="00196733"/>
    <w:rsid w:val="001A3CBD"/>
    <w:rsid w:val="001B62EF"/>
    <w:rsid w:val="001E68AA"/>
    <w:rsid w:val="001F5EA8"/>
    <w:rsid w:val="001F6451"/>
    <w:rsid w:val="001F723E"/>
    <w:rsid w:val="00205298"/>
    <w:rsid w:val="00240595"/>
    <w:rsid w:val="00247593"/>
    <w:rsid w:val="00262FFE"/>
    <w:rsid w:val="00267474"/>
    <w:rsid w:val="002833BD"/>
    <w:rsid w:val="0029386B"/>
    <w:rsid w:val="00295FAF"/>
    <w:rsid w:val="0029669D"/>
    <w:rsid w:val="002A799C"/>
    <w:rsid w:val="002B135D"/>
    <w:rsid w:val="002B19B9"/>
    <w:rsid w:val="002C2112"/>
    <w:rsid w:val="002C28D6"/>
    <w:rsid w:val="002C45E0"/>
    <w:rsid w:val="002D4E20"/>
    <w:rsid w:val="002E4116"/>
    <w:rsid w:val="002F608C"/>
    <w:rsid w:val="002F7CC8"/>
    <w:rsid w:val="00300D60"/>
    <w:rsid w:val="0030149F"/>
    <w:rsid w:val="003055B8"/>
    <w:rsid w:val="00311720"/>
    <w:rsid w:val="00321EFE"/>
    <w:rsid w:val="00325267"/>
    <w:rsid w:val="00335593"/>
    <w:rsid w:val="00336BFB"/>
    <w:rsid w:val="00337FB8"/>
    <w:rsid w:val="003429CE"/>
    <w:rsid w:val="003474CC"/>
    <w:rsid w:val="00350D90"/>
    <w:rsid w:val="003517D5"/>
    <w:rsid w:val="00353D37"/>
    <w:rsid w:val="0035537D"/>
    <w:rsid w:val="0035563E"/>
    <w:rsid w:val="0035649F"/>
    <w:rsid w:val="00361FAC"/>
    <w:rsid w:val="00371607"/>
    <w:rsid w:val="00390D38"/>
    <w:rsid w:val="0039279D"/>
    <w:rsid w:val="00397E6D"/>
    <w:rsid w:val="003B5234"/>
    <w:rsid w:val="003D1640"/>
    <w:rsid w:val="003D2D4F"/>
    <w:rsid w:val="003D6B73"/>
    <w:rsid w:val="003E64D5"/>
    <w:rsid w:val="003F0FA7"/>
    <w:rsid w:val="003F1FD6"/>
    <w:rsid w:val="003F3D63"/>
    <w:rsid w:val="003F479E"/>
    <w:rsid w:val="003F5229"/>
    <w:rsid w:val="0040092E"/>
    <w:rsid w:val="004011F9"/>
    <w:rsid w:val="004017AC"/>
    <w:rsid w:val="00416370"/>
    <w:rsid w:val="004300BE"/>
    <w:rsid w:val="00431197"/>
    <w:rsid w:val="0043709C"/>
    <w:rsid w:val="00455F24"/>
    <w:rsid w:val="00457D63"/>
    <w:rsid w:val="0046642B"/>
    <w:rsid w:val="00476A4D"/>
    <w:rsid w:val="00481059"/>
    <w:rsid w:val="0048436C"/>
    <w:rsid w:val="004A1C12"/>
    <w:rsid w:val="004A2CDC"/>
    <w:rsid w:val="004A3C2C"/>
    <w:rsid w:val="004B18C7"/>
    <w:rsid w:val="004B48C7"/>
    <w:rsid w:val="004B7A7B"/>
    <w:rsid w:val="004C47A9"/>
    <w:rsid w:val="004D4459"/>
    <w:rsid w:val="004E141A"/>
    <w:rsid w:val="004F52B4"/>
    <w:rsid w:val="004F5CFA"/>
    <w:rsid w:val="004F730C"/>
    <w:rsid w:val="00513D02"/>
    <w:rsid w:val="0051425F"/>
    <w:rsid w:val="00515CB2"/>
    <w:rsid w:val="0052526F"/>
    <w:rsid w:val="00526954"/>
    <w:rsid w:val="005467E3"/>
    <w:rsid w:val="00554843"/>
    <w:rsid w:val="005554B4"/>
    <w:rsid w:val="00556476"/>
    <w:rsid w:val="0055759B"/>
    <w:rsid w:val="00576BFB"/>
    <w:rsid w:val="005853B8"/>
    <w:rsid w:val="00594BF0"/>
    <w:rsid w:val="0059615E"/>
    <w:rsid w:val="005A1D69"/>
    <w:rsid w:val="005B1050"/>
    <w:rsid w:val="005B4364"/>
    <w:rsid w:val="005B65C5"/>
    <w:rsid w:val="005C6818"/>
    <w:rsid w:val="005D28BA"/>
    <w:rsid w:val="005D4B97"/>
    <w:rsid w:val="005E46D5"/>
    <w:rsid w:val="005F6FED"/>
    <w:rsid w:val="00603B98"/>
    <w:rsid w:val="00610305"/>
    <w:rsid w:val="00610C89"/>
    <w:rsid w:val="006242D7"/>
    <w:rsid w:val="0063019D"/>
    <w:rsid w:val="00632D4E"/>
    <w:rsid w:val="00634EF8"/>
    <w:rsid w:val="006508D4"/>
    <w:rsid w:val="00650F2C"/>
    <w:rsid w:val="0065532B"/>
    <w:rsid w:val="006574D9"/>
    <w:rsid w:val="0067549D"/>
    <w:rsid w:val="00682342"/>
    <w:rsid w:val="006909F9"/>
    <w:rsid w:val="00690F66"/>
    <w:rsid w:val="00693C1B"/>
    <w:rsid w:val="00696B58"/>
    <w:rsid w:val="006B65FA"/>
    <w:rsid w:val="006C0B97"/>
    <w:rsid w:val="006C30D5"/>
    <w:rsid w:val="006D139E"/>
    <w:rsid w:val="006D7EFB"/>
    <w:rsid w:val="006E6491"/>
    <w:rsid w:val="006E6EF4"/>
    <w:rsid w:val="006F4B7F"/>
    <w:rsid w:val="007156DC"/>
    <w:rsid w:val="00720A99"/>
    <w:rsid w:val="007231E7"/>
    <w:rsid w:val="0073168E"/>
    <w:rsid w:val="00753172"/>
    <w:rsid w:val="0075679A"/>
    <w:rsid w:val="00766FDF"/>
    <w:rsid w:val="00767A4F"/>
    <w:rsid w:val="00772322"/>
    <w:rsid w:val="00775605"/>
    <w:rsid w:val="007757C6"/>
    <w:rsid w:val="00783055"/>
    <w:rsid w:val="0079622B"/>
    <w:rsid w:val="007A075C"/>
    <w:rsid w:val="007C15E0"/>
    <w:rsid w:val="007D04A9"/>
    <w:rsid w:val="007D0C50"/>
    <w:rsid w:val="007E1697"/>
    <w:rsid w:val="007E53C1"/>
    <w:rsid w:val="007F20F2"/>
    <w:rsid w:val="007F2788"/>
    <w:rsid w:val="007F4B27"/>
    <w:rsid w:val="00802BA3"/>
    <w:rsid w:val="00804DAC"/>
    <w:rsid w:val="00807715"/>
    <w:rsid w:val="00811C38"/>
    <w:rsid w:val="00820F70"/>
    <w:rsid w:val="0082338A"/>
    <w:rsid w:val="008278EB"/>
    <w:rsid w:val="00846626"/>
    <w:rsid w:val="00852691"/>
    <w:rsid w:val="008577CC"/>
    <w:rsid w:val="00864532"/>
    <w:rsid w:val="00872020"/>
    <w:rsid w:val="008936C1"/>
    <w:rsid w:val="00893CCC"/>
    <w:rsid w:val="00897848"/>
    <w:rsid w:val="0089791F"/>
    <w:rsid w:val="008A2313"/>
    <w:rsid w:val="008B1466"/>
    <w:rsid w:val="008D23C7"/>
    <w:rsid w:val="008D2B2F"/>
    <w:rsid w:val="008D312B"/>
    <w:rsid w:val="008F41B6"/>
    <w:rsid w:val="00901ED5"/>
    <w:rsid w:val="00904773"/>
    <w:rsid w:val="009076A1"/>
    <w:rsid w:val="0091184B"/>
    <w:rsid w:val="00914B09"/>
    <w:rsid w:val="0093423C"/>
    <w:rsid w:val="00936333"/>
    <w:rsid w:val="009365AB"/>
    <w:rsid w:val="009444CA"/>
    <w:rsid w:val="009626DE"/>
    <w:rsid w:val="00963860"/>
    <w:rsid w:val="00970856"/>
    <w:rsid w:val="00972BAA"/>
    <w:rsid w:val="00974567"/>
    <w:rsid w:val="00974FFD"/>
    <w:rsid w:val="009939F5"/>
    <w:rsid w:val="00993E3C"/>
    <w:rsid w:val="009A0AC3"/>
    <w:rsid w:val="009A2172"/>
    <w:rsid w:val="009A2BB1"/>
    <w:rsid w:val="009A4650"/>
    <w:rsid w:val="009A764D"/>
    <w:rsid w:val="009B463A"/>
    <w:rsid w:val="009C01A3"/>
    <w:rsid w:val="009C247E"/>
    <w:rsid w:val="009D20F8"/>
    <w:rsid w:val="009D4328"/>
    <w:rsid w:val="009D6990"/>
    <w:rsid w:val="009E7882"/>
    <w:rsid w:val="009F12DF"/>
    <w:rsid w:val="009F502A"/>
    <w:rsid w:val="00A028A6"/>
    <w:rsid w:val="00A1326A"/>
    <w:rsid w:val="00A15BF1"/>
    <w:rsid w:val="00A21562"/>
    <w:rsid w:val="00A36564"/>
    <w:rsid w:val="00A4368E"/>
    <w:rsid w:val="00A7679C"/>
    <w:rsid w:val="00A77952"/>
    <w:rsid w:val="00A8385E"/>
    <w:rsid w:val="00A8570D"/>
    <w:rsid w:val="00A860E4"/>
    <w:rsid w:val="00A87941"/>
    <w:rsid w:val="00A97915"/>
    <w:rsid w:val="00AA2BFF"/>
    <w:rsid w:val="00AA5A58"/>
    <w:rsid w:val="00AB6E28"/>
    <w:rsid w:val="00AC5D87"/>
    <w:rsid w:val="00AD5AEC"/>
    <w:rsid w:val="00AD644A"/>
    <w:rsid w:val="00AD769A"/>
    <w:rsid w:val="00AE1C26"/>
    <w:rsid w:val="00AF40EF"/>
    <w:rsid w:val="00AF703C"/>
    <w:rsid w:val="00B224CB"/>
    <w:rsid w:val="00B25BEE"/>
    <w:rsid w:val="00B313B0"/>
    <w:rsid w:val="00B422CF"/>
    <w:rsid w:val="00B42484"/>
    <w:rsid w:val="00B44556"/>
    <w:rsid w:val="00B47F5C"/>
    <w:rsid w:val="00B65D6F"/>
    <w:rsid w:val="00B77FFC"/>
    <w:rsid w:val="00B809C2"/>
    <w:rsid w:val="00B81119"/>
    <w:rsid w:val="00B8419D"/>
    <w:rsid w:val="00BB074C"/>
    <w:rsid w:val="00BB10A7"/>
    <w:rsid w:val="00BB13E5"/>
    <w:rsid w:val="00BB55DA"/>
    <w:rsid w:val="00BC6329"/>
    <w:rsid w:val="00BD44D0"/>
    <w:rsid w:val="00BD7E2D"/>
    <w:rsid w:val="00C1086D"/>
    <w:rsid w:val="00C125E8"/>
    <w:rsid w:val="00C13FD9"/>
    <w:rsid w:val="00C2243D"/>
    <w:rsid w:val="00C227C2"/>
    <w:rsid w:val="00C40DE4"/>
    <w:rsid w:val="00C46FC7"/>
    <w:rsid w:val="00C505CF"/>
    <w:rsid w:val="00C5481D"/>
    <w:rsid w:val="00C57643"/>
    <w:rsid w:val="00C74346"/>
    <w:rsid w:val="00C80310"/>
    <w:rsid w:val="00C847C5"/>
    <w:rsid w:val="00C851BF"/>
    <w:rsid w:val="00CA7194"/>
    <w:rsid w:val="00CB1F21"/>
    <w:rsid w:val="00CB32E3"/>
    <w:rsid w:val="00CB5C1E"/>
    <w:rsid w:val="00CD0632"/>
    <w:rsid w:val="00CD20D0"/>
    <w:rsid w:val="00CE0EE3"/>
    <w:rsid w:val="00CE77D0"/>
    <w:rsid w:val="00CF0A76"/>
    <w:rsid w:val="00D00EFD"/>
    <w:rsid w:val="00D10051"/>
    <w:rsid w:val="00D118CC"/>
    <w:rsid w:val="00D138A9"/>
    <w:rsid w:val="00D30F4D"/>
    <w:rsid w:val="00D35FC0"/>
    <w:rsid w:val="00D41100"/>
    <w:rsid w:val="00D54CAE"/>
    <w:rsid w:val="00D6097E"/>
    <w:rsid w:val="00D62060"/>
    <w:rsid w:val="00D6761B"/>
    <w:rsid w:val="00D86634"/>
    <w:rsid w:val="00D90F64"/>
    <w:rsid w:val="00D92053"/>
    <w:rsid w:val="00D92991"/>
    <w:rsid w:val="00D960FA"/>
    <w:rsid w:val="00DA24F6"/>
    <w:rsid w:val="00DA5855"/>
    <w:rsid w:val="00DB3CB3"/>
    <w:rsid w:val="00DC4569"/>
    <w:rsid w:val="00DC6A32"/>
    <w:rsid w:val="00DD0EED"/>
    <w:rsid w:val="00DD432A"/>
    <w:rsid w:val="00DD44A2"/>
    <w:rsid w:val="00DD495B"/>
    <w:rsid w:val="00DE1E0A"/>
    <w:rsid w:val="00DE6173"/>
    <w:rsid w:val="00E04DDB"/>
    <w:rsid w:val="00E14113"/>
    <w:rsid w:val="00E1534D"/>
    <w:rsid w:val="00E22668"/>
    <w:rsid w:val="00E250C0"/>
    <w:rsid w:val="00E34FDE"/>
    <w:rsid w:val="00E35E65"/>
    <w:rsid w:val="00E3710E"/>
    <w:rsid w:val="00E421C7"/>
    <w:rsid w:val="00E50BE9"/>
    <w:rsid w:val="00E5443C"/>
    <w:rsid w:val="00E62DE8"/>
    <w:rsid w:val="00E63966"/>
    <w:rsid w:val="00E86F34"/>
    <w:rsid w:val="00E94879"/>
    <w:rsid w:val="00EA6FDF"/>
    <w:rsid w:val="00EB1737"/>
    <w:rsid w:val="00ED162A"/>
    <w:rsid w:val="00EE03BF"/>
    <w:rsid w:val="00EE78C8"/>
    <w:rsid w:val="00EE7AB7"/>
    <w:rsid w:val="00EF6913"/>
    <w:rsid w:val="00F04E81"/>
    <w:rsid w:val="00F23EA4"/>
    <w:rsid w:val="00F25857"/>
    <w:rsid w:val="00F2607C"/>
    <w:rsid w:val="00F3485B"/>
    <w:rsid w:val="00F370B2"/>
    <w:rsid w:val="00F53179"/>
    <w:rsid w:val="00F57353"/>
    <w:rsid w:val="00F57DC2"/>
    <w:rsid w:val="00F6596D"/>
    <w:rsid w:val="00F66D91"/>
    <w:rsid w:val="00F7104C"/>
    <w:rsid w:val="00F93634"/>
    <w:rsid w:val="00F94067"/>
    <w:rsid w:val="00F96EA8"/>
    <w:rsid w:val="00FA2769"/>
    <w:rsid w:val="00FA3F0E"/>
    <w:rsid w:val="00FB3DA4"/>
    <w:rsid w:val="00FB478F"/>
    <w:rsid w:val="00FC0B2E"/>
    <w:rsid w:val="00FD37FA"/>
    <w:rsid w:val="00FD3D2A"/>
    <w:rsid w:val="00FE3021"/>
    <w:rsid w:val="00FE4BE1"/>
    <w:rsid w:val="00FE63C6"/>
    <w:rsid w:val="00FE664A"/>
    <w:rsid w:val="00FF1174"/>
    <w:rsid w:val="00FF6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w:basedOn w:val="Normal"/>
    <w:link w:val="FootnoteTextChar"/>
    <w:rsid w:val="00DC6A32"/>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
    <w:basedOn w:val="DefaultParagraphFont"/>
    <w:link w:val="FootnoteText"/>
    <w:rsid w:val="00DC6A32"/>
    <w:rPr>
      <w:rFonts w:eastAsia="Times New Roman" w:cs="Times New Roman"/>
      <w:sz w:val="20"/>
      <w:szCs w:val="20"/>
    </w:rPr>
  </w:style>
  <w:style w:type="character" w:styleId="FootnoteReference">
    <w:name w:val="footnote reference"/>
    <w:aliases w:val="Footnote text"/>
    <w:rsid w:val="00DC6A32"/>
    <w:rPr>
      <w:vertAlign w:val="superscript"/>
    </w:rPr>
  </w:style>
  <w:style w:type="paragraph" w:customStyle="1" w:styleId="Vnbnnidung">
    <w:name w:val="Văn bản nội dung"/>
    <w:basedOn w:val="Normal"/>
    <w:link w:val="Vnbnnidung0"/>
    <w:rsid w:val="00EB1737"/>
    <w:pPr>
      <w:widowControl w:val="0"/>
      <w:shd w:val="clear" w:color="auto" w:fill="FFFFFF"/>
      <w:spacing w:line="0" w:lineRule="atLeast"/>
    </w:pPr>
    <w:rPr>
      <w:rFonts w:eastAsia="Times New Roman" w:cs="Times New Roman"/>
      <w:sz w:val="26"/>
      <w:szCs w:val="26"/>
    </w:rPr>
  </w:style>
  <w:style w:type="paragraph" w:styleId="BalloonText">
    <w:name w:val="Balloon Text"/>
    <w:basedOn w:val="Normal"/>
    <w:link w:val="BalloonTextChar"/>
    <w:uiPriority w:val="99"/>
    <w:semiHidden/>
    <w:unhideWhenUsed/>
    <w:rsid w:val="00EB1737"/>
    <w:rPr>
      <w:rFonts w:ascii="Tahoma" w:hAnsi="Tahoma" w:cs="Tahoma"/>
      <w:sz w:val="16"/>
      <w:szCs w:val="16"/>
    </w:rPr>
  </w:style>
  <w:style w:type="character" w:customStyle="1" w:styleId="BalloonTextChar">
    <w:name w:val="Balloon Text Char"/>
    <w:basedOn w:val="DefaultParagraphFont"/>
    <w:link w:val="BalloonText"/>
    <w:uiPriority w:val="99"/>
    <w:semiHidden/>
    <w:rsid w:val="00EB1737"/>
    <w:rPr>
      <w:rFonts w:ascii="Tahoma" w:hAnsi="Tahoma" w:cs="Tahoma"/>
      <w:sz w:val="16"/>
      <w:szCs w:val="16"/>
    </w:rPr>
  </w:style>
  <w:style w:type="character" w:customStyle="1" w:styleId="Vnbnnidung0">
    <w:name w:val="Văn bản nội dung_"/>
    <w:link w:val="Vnbnnidung"/>
    <w:rsid w:val="00335593"/>
    <w:rPr>
      <w:rFonts w:eastAsia="Times New Roman" w:cs="Times New Roman"/>
      <w:sz w:val="26"/>
      <w:szCs w:val="26"/>
      <w:shd w:val="clear" w:color="auto" w:fill="FFFFFF"/>
    </w:rPr>
  </w:style>
  <w:style w:type="paragraph" w:customStyle="1" w:styleId="Char">
    <w:name w:val="Char"/>
    <w:basedOn w:val="Normal"/>
    <w:next w:val="Header"/>
    <w:semiHidden/>
    <w:rsid w:val="009B463A"/>
    <w:pPr>
      <w:spacing w:after="160" w:line="240" w:lineRule="exact"/>
    </w:pPr>
    <w:rPr>
      <w:rFonts w:eastAsia="Times New Roman" w:cs="Times New Roman"/>
    </w:rPr>
  </w:style>
  <w:style w:type="paragraph" w:styleId="NormalWeb">
    <w:name w:val="Normal (Web)"/>
    <w:basedOn w:val="Normal"/>
    <w:uiPriority w:val="99"/>
    <w:rsid w:val="009B463A"/>
    <w:pPr>
      <w:spacing w:before="100" w:beforeAutospacing="1" w:after="100" w:afterAutospacing="1"/>
    </w:pPr>
    <w:rPr>
      <w:rFonts w:eastAsia="Times New Roman" w:cs="Times New Roman"/>
      <w:sz w:val="24"/>
      <w:szCs w:val="24"/>
    </w:rPr>
  </w:style>
  <w:style w:type="character" w:customStyle="1" w:styleId="vnbnnidung31">
    <w:name w:val="vnbnnidung3"/>
    <w:basedOn w:val="DefaultParagraphFont"/>
    <w:rsid w:val="009B463A"/>
  </w:style>
  <w:style w:type="character" w:styleId="Hyperlink">
    <w:name w:val="Hyperlink"/>
    <w:uiPriority w:val="99"/>
    <w:semiHidden/>
    <w:unhideWhenUsed/>
    <w:rsid w:val="00D35F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thong-tu-19-2017-tt-btc-quyet-toan-kinh-phi-ngan-sach-thi-hanh-phap-luat-xu-ly-vi-pham-hanh-chinh-342871.aspx" TargetMode="External"/><Relationship Id="rId3" Type="http://schemas.openxmlformats.org/officeDocument/2006/relationships/settings" Target="settings.xml"/><Relationship Id="rId7" Type="http://schemas.openxmlformats.org/officeDocument/2006/relationships/hyperlink" Target="https://thuvienphapluat.vn/van-ban/vi-pham-hanh-chinh/thong-tu-19-2017-tt-btc-quyet-toan-kinh-phi-ngan-sach-thi-hanh-phap-luat-xu-ly-vi-pham-hanh-chinh-34287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6</cp:revision>
  <cp:lastPrinted>2022-07-12T01:27:00Z</cp:lastPrinted>
  <dcterms:created xsi:type="dcterms:W3CDTF">2022-07-11T03:49:00Z</dcterms:created>
  <dcterms:modified xsi:type="dcterms:W3CDTF">2022-07-12T01:31:00Z</dcterms:modified>
</cp:coreProperties>
</file>